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IOWA TUITION GRANT PROGRAM</w:t>
      </w:r>
    </w:p>
    <w:p>
      <w:pPr>
        <w:spacing w:before="0" w:after="0"/>
        <w:ind w:left="120"/>
        <w:jc w:val="center"/>
      </w:pPr>
      <w:r>
        <w:rPr>
          <w:rFonts w:ascii="Times New Roman" w:hAnsi="Times New Roman"/>
          <w:b w:val="false"/>
          <w:i w:val="false"/>
          <w:color w:val="000000"/>
          <w:sz w:val="14"/>
        </w:rPr>
        <w:t>[Prior to 8/10/88, see College Aid Commission, 245—Ch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283—12.1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Assistance available under the Iowa tuition grant program is tuition-restricted and is also based on the financial metric and financial need of Iowa residents enrolled at an accredited private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private institution” </w:t>
      </w:r>
      <w:r>
        <w:rPr>
          <w:rFonts w:ascii="Times New Roman" w:hAnsi="Times New Roman"/>
          <w:b w:val="false"/>
          <w:i w:val="false"/>
          <w:color w:val="000000"/>
          <w:sz w:val="22"/>
        </w:rPr>
        <w:t xml:space="preserve">means a not-for-profit private institution that meets the criteria in Iowa Code section </w:t>
      </w:r>
      <w:hyperlink r:id="rId5">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283—12.5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is accredited by a federally recognized accreditor of postsecondary educational institutions, has made a substantial investment in a permanent Iowa campus and staff, and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 except that the program of study must lead to an undergraduate degree or an initial teaching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i w:val="false"/>
          <w:color w:val="000000"/>
          <w:sz w:val="16"/>
        </w:rPr>
        <w:t>ARC 0047D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enrolled at least part-time in a program of study at an accredited private institution and who meets the award eligibility criteria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4">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eight full-time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tuition and mandatory fees charged by the accredited private institution less the average undergraduate tuition and fees charged by the state universities under the Iowa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undergraduate tuition and fees charged by the state universities under the Iowa board of regents;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established by the commission that allows all eligible applicants to receive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awarded in combination with other tuition-restricted funds, the total amount of tuition-restricted funding, including an Iowa tuition grant, cannot exceed the total tuition and mandatory fees charged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defined by the commission, that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will be provided during the fall and spring semesters of enrollment, or the equivalent. Awards may be provided during the summer semester to the extent that funding allows. Eligible applicants who are enrolled in commission-approved accelerated programs that incorporate summer attendance may receive summer Iowa tuition grants if the eligible applicant meets the accelerated progression thresholds established by the commission without exhausting grant eligibility prior to degree completion. Accelerated programs must allow students to complete four-year baccalaureate programs in less than the normal prescribed time frame while taking the same courses as students completing the same degree during a traditional four-year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accredited private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accredited private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apply awards directly to student accounts to cover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provide information about eligible applicants to the commission in a format specified by the commission. Accredited private institutions will make necessary changes to awards due to a change in enrollment or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are responsible for completing necessary verification and for coordinating other aid to ensure compliance with student eligibility requirements and allowable award amounts. Accredited private institutions will report changes in student eligibility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283—12.5</w:t>
      </w:r>
      <w:r>
        <w:rPr>
          <w:rFonts w:ascii="Times New Roman" w:hAnsi="Times New Roman"/>
          <w:b/>
          <w:i w:val="false"/>
          <w:color w:val="000000"/>
          <w:sz w:val="22"/>
        </w:rPr>
        <w:t xml:space="preserve">(256) </w:t>
      </w:r>
      <w:r>
        <w:rPr>
          <w:rFonts w:ascii="Times New Roman" w:hAnsi="Times New Roman"/>
          <w:b/>
          <w:i w:val="false"/>
          <w:color w:val="000000"/>
          <w:sz w:val="22"/>
        </w:rPr>
        <w:t xml:space="preserve">Accredited private institution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accredited private institution that is located in Iowa may request participation in the Iowa tuition grant program using the commission’s designated application. The institution will meet the eligibility criteria in Iowa Code section </w:t>
      </w:r>
      <w:hyperlink r:id="rId15">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Deadline to apply. </w:t>
      </w:r>
      <w:r>
        <w:rPr>
          <w:rFonts w:ascii="Times New Roman" w:hAnsi="Times New Roman"/>
          <w:b w:val="false"/>
          <w:i w:val="false"/>
          <w:color w:val="000000"/>
          <w:sz w:val="22"/>
        </w:rPr>
        <w:t>An accredited private institution seeking to participate in the Iowa tuition grant program will submit an application on or before October 1 of the year prior to the beginning of the academic year for which the accredited institution is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 xml:space="preserve">An accredited private institution that is participating in the Iowa tuition grant program will immediately notify the commission if its federally recognized accreditation as a postsecondary educational institution or 501(c)(3) status is lost, or if the accredited private institution will fail to meet the necessary institutional match. Failure to meet any provision in Iowa Code sections </w:t>
      </w:r>
      <w:hyperlink r:id="rId16">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256.190</w:t>
        </w:r>
      </w:hyperlink>
      <w:r>
        <w:rPr>
          <w:rFonts w:ascii="Times New Roman" w:hAnsi="Times New Roman"/>
          <w:b w:val="false"/>
          <w:i w:val="false"/>
          <w:color w:val="000000"/>
          <w:sz w:val="22"/>
        </w:rPr>
        <w:t xml:space="preserve"> or this rule may result in the immediate cessation of the institution’s participation in the Iowa tuition grant and in the institution returning Iowa tuition grant funds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Compliance audits. </w:t>
      </w:r>
      <w:r>
        <w:rPr>
          <w:rFonts w:ascii="Times New Roman" w:hAnsi="Times New Roman"/>
          <w:b w:val="false"/>
          <w:i w:val="false"/>
          <w:color w:val="000000"/>
          <w:sz w:val="22"/>
        </w:rPr>
        <w:t xml:space="preserve">The commission will periodically investigate and review compliance of accredited private institutions participating in this program with the criteria established in Iowa Code sections </w:t>
      </w:r>
      <w:hyperlink r:id="rId18">
        <w:r>
          <w:rPr>
            <w:rStyle w:val="Hyperlink"/>
            <w:rFonts w:ascii="Times New Roman" w:hAnsi="Times New Roman"/>
            <w:b w:val="false"/>
            <w:i w:val="false"/>
            <w:color w:val="000000"/>
            <w:sz w:val="22"/>
          </w:rPr>
          <w:t>256.183 through 256.190</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i w:val="false"/>
          <w:color w:val="000000"/>
          <w:sz w:val="16"/>
        </w:rPr>
        <w:t>ARC 0047D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1/28/71; amended 6/29/72, 10/15/73, 6/28/74]</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7/15/83, Notice 4/27/83—published 8/3/83, effective 9/7/83]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8/22/86, Notice 6/4/86—published 9/10/86, effective 10/15/86]</w:t>
      </w:r>
    </w:p>
    <w:p>
      <w:pPr>
        <w:spacing w:before="0" w:after="0"/>
        <w:ind w:left="120"/>
        <w:jc w:val="center"/>
      </w:pPr>
      <w:r>
        <w:rPr>
          <w:rFonts w:ascii="Times New Roman" w:hAnsi="Times New Roman"/>
          <w:b w:val="false"/>
          <w:i w:val="false"/>
          <w:color w:val="000000"/>
          <w:sz w:val="21"/>
        </w:rPr>
        <w:t>[Filed 1/15/87, Notice 12/3/86—published 2/11/87, effective 3/18/87]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1/13/89, Notice 11/2/88—published 2/8/89, effective 3/15/89]</w:t>
      </w:r>
    </w:p>
    <w:p>
      <w:pPr>
        <w:spacing w:before="0" w:after="0"/>
        <w:ind w:left="120"/>
        <w:jc w:val="center"/>
      </w:pPr>
      <w:r>
        <w:rPr>
          <w:rFonts w:ascii="Times New Roman" w:hAnsi="Times New Roman"/>
          <w:b w:val="false"/>
          <w:i w:val="false"/>
          <w:color w:val="000000"/>
          <w:sz w:val="21"/>
        </w:rPr>
        <w:t>[Filed 6/19/91, Notice 5/1/91—published 7/10/91, effective 8/14/91]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11/30/95, Notice 10/25/95—published 12/20/95, effective 1/26/96]</w:t>
      </w:r>
    </w:p>
    <w:p>
      <w:pPr>
        <w:spacing w:before="0" w:after="0"/>
        <w:ind w:left="120"/>
        <w:jc w:val="center"/>
      </w:pPr>
      <w:r>
        <w:rPr>
          <w:rFonts w:ascii="Times New Roman" w:hAnsi="Times New Roman"/>
          <w:b w:val="false"/>
          <w:i w:val="false"/>
          <w:color w:val="000000"/>
          <w:sz w:val="21"/>
        </w:rPr>
        <w:t>[Filed 8/8/96, Notice 6/19/96—published 8/28/96, effective 10/2/96]</w:t>
      </w:r>
    </w:p>
    <w:p>
      <w:pPr>
        <w:spacing w:before="0" w:after="0"/>
        <w:ind w:left="120"/>
        <w:jc w:val="center"/>
      </w:pPr>
      <w:r>
        <w:rPr>
          <w:rFonts w:ascii="Times New Roman" w:hAnsi="Times New Roman"/>
          <w:b w:val="false"/>
          <w:i w:val="false"/>
          <w:color w:val="000000"/>
          <w:sz w:val="21"/>
        </w:rPr>
        <w:t>[Filed 10/1/99, Notice 8/11/99—published 10/20/99, effective 11/24/99]</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9/24/04, Notice 6/23/04—published 10/13/04, effective 11/17/04]</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2752C</w:t>
      </w:r>
      <w:r>
        <w:rPr>
          <w:rFonts w:ascii="Times New Roman" w:hAnsi="Times New Roman"/>
          <w:b w:val="false"/>
          <w:i w:val="false"/>
          <w:color w:val="000000"/>
          <w:sz w:val="21"/>
        </w:rPr>
        <w:t xml:space="preserve"> (Notice ARC 2582C,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8407C</w:t>
      </w:r>
      <w:r>
        <w:rPr>
          <w:rFonts w:ascii="Times New Roman" w:hAnsi="Times New Roman"/>
          <w:b w:val="false"/>
          <w:i w:val="false"/>
          <w:color w:val="000000"/>
          <w:sz w:val="21"/>
        </w:rPr>
        <w:t xml:space="preserve"> (Notice ARC 8169C, IAB 8/7/24)</w:t>
      </w:r>
      <w:r>
        <w:rPr>
          <w:rFonts w:ascii="Times New Roman" w:hAnsi="Times New Roman"/>
          <w:b w:val="false"/>
          <w:i w:val="false"/>
          <w:color w:val="000000"/>
          <w:sz w:val="21"/>
        </w:rPr>
        <w:t>, IAB 11/27/24, effective 1/1/25]</w:t>
      </w:r>
    </w:p>
    <w:p>
      <w:pPr>
        <w:spacing w:before="0" w:after="0"/>
        <w:ind w:left="120"/>
        <w:jc w:val="center"/>
      </w:pPr>
      <w:r>
        <w:rPr>
          <w:rFonts w:ascii="Times New Roman" w:hAnsi="Times New Roman"/>
          <w:b w:val="false"/>
          <w:i w:val="false"/>
          <w:color w:val="000000"/>
          <w:sz w:val="21"/>
        </w:rPr>
        <w:t>[Filed ARC 0047D</w:t>
      </w:r>
      <w:r>
        <w:rPr>
          <w:rFonts w:ascii="Times New Roman" w:hAnsi="Times New Roman"/>
          <w:b w:val="false"/>
          <w:i w:val="false"/>
          <w:color w:val="000000"/>
          <w:sz w:val="21"/>
        </w:rPr>
        <w:t xml:space="preserve"> (Notice ARC 9768C, IAB 11/26/25)</w:t>
      </w:r>
      <w:r>
        <w:rPr>
          <w:rFonts w:ascii="Times New Roman" w:hAnsi="Times New Roman"/>
          <w:b w:val="false"/>
          <w:i w:val="false"/>
          <w:color w:val="000000"/>
          <w:sz w:val="21"/>
        </w:rPr>
        <w:t>, IAB 2/4/26, effective 3/11/26]</w:t>
      </w:r>
    </w:p>
    <w:sectPr>
      <w:footerReference r:id="rId2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83.pdf" Type="http://schemas.openxmlformats.org/officeDocument/2006/relationships/hyperlink" Id="rId5"/>
    <Relationship TargetMode="External" Target="https://www.legis.iowa.gov/docs/iac/rule/283.12.5.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2.pdf" Type="http://schemas.openxmlformats.org/officeDocument/2006/relationships/hyperlink" Id="rId13"/>
    <Relationship TargetMode="External" Target="https://www.legis.iowa.gov/docs/iac/rule/283.10.3.pdf" Type="http://schemas.openxmlformats.org/officeDocument/2006/relationships/hyperlink" Id="rId14"/>
    <Relationship TargetMode="External" Target="https://www.legis.iowa.gov/docs/ico/chapter/256.183.pdf" Type="http://schemas.openxmlformats.org/officeDocument/2006/relationships/hyperlink" Id="rId15"/>
    <Relationship TargetMode="External" Target="https://www.legis.iowa.gov/docs/ico/chapter/256.183.pdf" Type="http://schemas.openxmlformats.org/officeDocument/2006/relationships/hyperlink" Id="rId16"/>
    <Relationship TargetMode="External" Target="https://www.legis.iowa.gov/docs/ico/chapter/256.190.pdf" Type="http://schemas.openxmlformats.org/officeDocument/2006/relationships/hyperlink" Id="rId17"/>
    <Relationship TargetMode="External" Target="https://www.legis.iowa.gov/docs/ico/chapter/256.183-190.pdf" Type="http://schemas.openxmlformats.org/officeDocument/2006/relationships/hyperlink" Id="rId18"/>
    <Relationship TargetMode="External" Target="https://www.legis.iowa.gov/docs/ico/chapter/256.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