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IOWA TUITION GRANT PROGRAM—FOR-PROFIT INSTITUTIONS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9/11/29</w:t>
      </w:r>
    </w:p>
    <w:p>
      <w:pPr>
        <w:spacing w:before="0" w:after="0"/>
        <w:ind w:left="120"/>
        <w:jc w:val="both"/>
      </w:pPr>
      <w:r>
        <w:rPr>
          <w:rFonts w:ascii="Times New Roman" w:hAnsi="Times New Roman"/>
          <w:b/>
          <w:i w:val="false"/>
          <w:color w:val="000000"/>
          <w:sz w:val="22"/>
        </w:rPr>
        <w:t>283—11.1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 xml:space="preserve">Assistance available under the for-profit Iowa tuition grant program is tuition-restricted and is also based on the financial metric and financial need of Iowa residents enrolled at for-profit eligible institutions.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8172C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283—11.2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 for-profit private institution that meets the criteria in Iowa Code section </w:t>
      </w:r>
      <w:hyperlink r:id="rId5">
        <w:r>
          <w:rPr>
            <w:rStyle w:val="Hyperlink"/>
            <w:rFonts w:ascii="Times New Roman" w:hAnsi="Times New Roman"/>
            <w:b w:val="false"/>
            <w:i w:val="false"/>
            <w:color w:val="000000"/>
            <w:sz w:val="22"/>
          </w:rPr>
          <w:t>256.183(3)</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283—11.5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“Located in Iowa” </w:t>
      </w:r>
      <w:r>
        <w:rPr>
          <w:rFonts w:ascii="Times New Roman" w:hAnsi="Times New Roman"/>
          <w:b w:val="false"/>
          <w:i w:val="false"/>
          <w:color w:val="000000"/>
          <w:sz w:val="22"/>
        </w:rPr>
        <w:t>means a postsecondary for-profit institution that has made a substantial investment in a permanent Iowa campus and staff and that offers a full range of courses leading to the credentials offered by the institution as well as a full range of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a sequence of educational courses that prepares the student for licensure as a barber or a cosmetology arts and sciences program of study that prepares the student for licensure in the state of Iowa as provided in Iowa Code chapter </w:t>
      </w:r>
      <w:hyperlink r:id="rId12">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3">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8172C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283—11.3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an Iowa resident who is enrolled at least part-time in a program of study at an eligible institution, meets the award eligibility criteria, and meets the following provisions: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Completes the applications the commission deems necessary on or before the date established by the commission.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Establishes financial need, has an eligible financial metric, meets satisfactory academic progress standards, and does not meet a condition in </w:t>
      </w:r>
      <w:hyperlink r:id="rId14">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8172C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283—11.4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Maximum award and extent of award. </w:t>
      </w:r>
      <w:r>
        <w:rPr>
          <w:rFonts w:ascii="Times New Roman" w:hAnsi="Times New Roman"/>
          <w:b w:val="false"/>
          <w:i w:val="false"/>
          <w:color w:val="000000"/>
          <w:sz w:val="22"/>
        </w:rPr>
        <w:t>Eligible applicants may receive no more than the equivalent of four full-time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award for full-time students will not exceed the student’s financial need and will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$3,000 per semester, or the equivalent, during the fall, spring and summer semesters.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award established by the commission that allows all eligible applicants to receive an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awarded in combination with other tuition-restricted funds, the total amount of tuition-restricted funding including an Iowa tuition grant cannot exceed the total tuition and mandatory fees charged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part-time student will receive a prorated award, as defined by the commission, which is calculated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and maximum award to participating eligible institutions annually to authorize awarding.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 and provide eligible institutions with rosters of designated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notify recipients of the awards, clearly indicating the award amount and the state program from which funding is being provided and stating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apply awards directly to student accounts to cover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provide information about eligible applicants to the commission in a format specified by the commission. Eligible institutions will make necessary changes to awards due to a change in enrollment or financial situation, and promptly report those changes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Eligible institutions are responsible for completing necessary verification and for coordinating other aid to ensure compliance with student eligibility requirements and allowable award amounts. Eligible institutions will report changes in student eligibility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8172C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283—11.5</w:t>
      </w:r>
      <w:r>
        <w:rPr>
          <w:rFonts w:ascii="Times New Roman" w:hAnsi="Times New Roman"/>
          <w:b/>
          <w:i w:val="false"/>
          <w:color w:val="000000"/>
          <w:sz w:val="22"/>
        </w:rPr>
        <w:t xml:space="preserve">(256) </w:t>
      </w:r>
      <w:r>
        <w:rPr>
          <w:rFonts w:ascii="Times New Roman" w:hAnsi="Times New Roman"/>
          <w:b/>
          <w:i w:val="false"/>
          <w:color w:val="000000"/>
          <w:sz w:val="22"/>
        </w:rPr>
        <w:t xml:space="preserve">Institution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eligible institution that is located in Iowa may request participation in the Iowa tuition grant program using the commission’s designated application. The institution will meet the eligibility criteria in Iowa Code section </w:t>
      </w:r>
      <w:hyperlink r:id="rId15">
        <w:r>
          <w:rPr>
            <w:rStyle w:val="Hyperlink"/>
            <w:rFonts w:ascii="Times New Roman" w:hAnsi="Times New Roman"/>
            <w:b w:val="false"/>
            <w:i w:val="false"/>
            <w:color w:val="000000"/>
            <w:sz w:val="22"/>
          </w:rPr>
          <w:t>256.183(3)</w:t>
        </w:r>
      </w:hyperlink>
      <w:r>
        <w:rPr>
          <w:rFonts w:ascii="Times New Roman" w:hAnsi="Times New Roman"/>
          <w:b w:val="false"/>
          <w:i w:val="false"/>
          <w:color w:val="000000"/>
          <w:sz w:val="22"/>
        </w:rPr>
        <w:t xml:space="preserve"> at the time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Deadline to apply. </w:t>
      </w:r>
      <w:r>
        <w:rPr>
          <w:rFonts w:ascii="Times New Roman" w:hAnsi="Times New Roman"/>
          <w:b w:val="false"/>
          <w:i w:val="false"/>
          <w:color w:val="000000"/>
          <w:sz w:val="22"/>
        </w:rPr>
        <w:t>Eligible institutions seeking to participate in the Iowa tuition grant program will submit applications on or before October 1 of the year prior to the beginning of the academic year for which they are applying for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Ongoing eligibility. </w:t>
      </w:r>
      <w:r>
        <w:rPr>
          <w:rFonts w:ascii="Times New Roman" w:hAnsi="Times New Roman"/>
          <w:b w:val="false"/>
          <w:i w:val="false"/>
          <w:color w:val="000000"/>
          <w:sz w:val="22"/>
        </w:rPr>
        <w:t xml:space="preserve">An eligible institution that is participating in the Iowa tuition grant program will immediately notify the commission if its national accreditation is lost or if it will fail to meet the necessary institutional match. Failure to meet any provision in Iowa Code section </w:t>
      </w:r>
      <w:hyperlink r:id="rId16">
        <w:r>
          <w:rPr>
            <w:rStyle w:val="Hyperlink"/>
            <w:rFonts w:ascii="Times New Roman" w:hAnsi="Times New Roman"/>
            <w:b w:val="false"/>
            <w:i w:val="false"/>
            <w:color w:val="000000"/>
            <w:sz w:val="22"/>
          </w:rPr>
          <w:t>256.183(3)</w:t>
        </w:r>
      </w:hyperlink>
      <w:r>
        <w:rPr>
          <w:rFonts w:ascii="Times New Roman" w:hAnsi="Times New Roman"/>
          <w:b w:val="false"/>
          <w:i w:val="false"/>
          <w:color w:val="000000"/>
          <w:sz w:val="22"/>
        </w:rPr>
        <w:t xml:space="preserve">, Iowa Code section </w:t>
      </w:r>
      <w:hyperlink r:id="rId17">
        <w:r>
          <w:rPr>
            <w:rStyle w:val="Hyperlink"/>
            <w:rFonts w:ascii="Times New Roman" w:hAnsi="Times New Roman"/>
            <w:b w:val="false"/>
            <w:i w:val="false"/>
            <w:color w:val="000000"/>
            <w:sz w:val="22"/>
          </w:rPr>
          <w:t>256.191</w:t>
        </w:r>
      </w:hyperlink>
      <w:r>
        <w:rPr>
          <w:rFonts w:ascii="Times New Roman" w:hAnsi="Times New Roman"/>
          <w:b w:val="false"/>
          <w:i w:val="false"/>
          <w:color w:val="000000"/>
          <w:sz w:val="22"/>
        </w:rPr>
        <w:t xml:space="preserve">, or this rule may result in the immediate cessation of the institution’s participation in the Iowa tuition grant and in the institution’s returning Iowa tuition grant funds to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Compliance audits. </w:t>
      </w:r>
      <w:r>
        <w:rPr>
          <w:rFonts w:ascii="Times New Roman" w:hAnsi="Times New Roman"/>
          <w:b w:val="false"/>
          <w:i w:val="false"/>
          <w:color w:val="000000"/>
          <w:sz w:val="22"/>
        </w:rPr>
        <w:t xml:space="preserve">The commission will periodically investigate and review compliance of eligible institutions participating in this program with the criteria established in Iowa Code section </w:t>
      </w:r>
      <w:hyperlink r:id="rId18">
        <w:r>
          <w:rPr>
            <w:rStyle w:val="Hyperlink"/>
            <w:rFonts w:ascii="Times New Roman" w:hAnsi="Times New Roman"/>
            <w:b w:val="false"/>
            <w:i w:val="false"/>
            <w:color w:val="000000"/>
            <w:sz w:val="22"/>
          </w:rPr>
          <w:t>256.183(3)</w:t>
        </w:r>
      </w:hyperlink>
      <w:r>
        <w:rPr>
          <w:rFonts w:ascii="Times New Roman" w:hAnsi="Times New Roman"/>
          <w:b w:val="false"/>
          <w:i w:val="false"/>
          <w:color w:val="000000"/>
          <w:sz w:val="22"/>
        </w:rPr>
        <w:t xml:space="preserve">, Iowa Code section </w:t>
      </w:r>
      <w:hyperlink r:id="rId19">
        <w:r>
          <w:rPr>
            <w:rStyle w:val="Hyperlink"/>
            <w:rFonts w:ascii="Times New Roman" w:hAnsi="Times New Roman"/>
            <w:b w:val="false"/>
            <w:i w:val="false"/>
            <w:color w:val="000000"/>
            <w:sz w:val="22"/>
          </w:rPr>
          <w:t>256.191</w:t>
        </w:r>
      </w:hyperlink>
      <w:r>
        <w:rPr>
          <w:rFonts w:ascii="Times New Roman" w:hAnsi="Times New Roman"/>
          <w:b w:val="false"/>
          <w:i w:val="false"/>
          <w:color w:val="000000"/>
          <w:sz w:val="22"/>
        </w:rPr>
        <w:t xml:space="preserve">, and this rule.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8172C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3382C</w:t>
      </w:r>
      <w:r>
        <w:rPr>
          <w:rFonts w:ascii="Times New Roman" w:hAnsi="Times New Roman"/>
          <w:b w:val="false"/>
          <w:i w:val="false"/>
          <w:color w:val="000000"/>
          <w:sz w:val="21"/>
        </w:rPr>
        <w:t xml:space="preserve"> (Notice ARC 3126C, IAB 6/21/17)</w:t>
      </w:r>
      <w:r>
        <w:rPr>
          <w:rFonts w:ascii="Times New Roman" w:hAnsi="Times New Roman"/>
          <w:b w:val="false"/>
          <w:i w:val="false"/>
          <w:color w:val="000000"/>
          <w:sz w:val="21"/>
        </w:rPr>
        <w:t>, IAB 10/11/17, effective 9/20/17]</w:t>
      </w:r>
    </w:p>
    <w:p>
      <w:pPr>
        <w:spacing w:before="0" w:after="0"/>
        <w:ind w:left="120"/>
        <w:jc w:val="center"/>
      </w:pPr>
      <w:r>
        <w:rPr>
          <w:rFonts w:ascii="Times New Roman" w:hAnsi="Times New Roman"/>
          <w:b w:val="false"/>
          <w:i w:val="false"/>
          <w:color w:val="000000"/>
          <w:sz w:val="21"/>
        </w:rPr>
        <w:t>[Filed ARC 8172C</w:t>
      </w:r>
      <w:r>
        <w:rPr>
          <w:rFonts w:ascii="Times New Roman" w:hAnsi="Times New Roman"/>
          <w:b w:val="false"/>
          <w:i w:val="false"/>
          <w:color w:val="000000"/>
          <w:sz w:val="21"/>
        </w:rPr>
        <w:t xml:space="preserve"> (Notice ARC 7852C, IAB 4/17/24)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83.pdf" Type="http://schemas.openxmlformats.org/officeDocument/2006/relationships/hyperlink" Id="rId5"/>
    <Relationship TargetMode="External" Target="https://www.legis.iowa.gov/docs/iac/rule/283.11.5.pdf" Type="http://schemas.openxmlformats.org/officeDocument/2006/relationships/hyperlink" Id="rId6"/>
    <Relationship TargetMode="External" Target="https://www.legis.iowa.gov/docs/iac/rule/283.10.2.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2.pdf" Type="http://schemas.openxmlformats.org/officeDocument/2006/relationships/hyperlink" Id="rId11"/>
    <Relationship TargetMode="External" Target="https://www.legis.iowa.gov/docs/ico/chapter/157.pdf" Type="http://schemas.openxmlformats.org/officeDocument/2006/relationships/hyperlink" Id="rId12"/>
    <Relationship TargetMode="External" Target="https://www.legis.iowa.gov/docs/iac/rule/283.10.2.pdf" Type="http://schemas.openxmlformats.org/officeDocument/2006/relationships/hyperlink" Id="rId13"/>
    <Relationship TargetMode="External" Target="https://www.legis.iowa.gov/docs/iac/rule/283.10.3.pdf" Type="http://schemas.openxmlformats.org/officeDocument/2006/relationships/hyperlink" Id="rId14"/>
    <Relationship TargetMode="External" Target="https://www.legis.iowa.gov/docs/ico/chapter/256.183.pdf" Type="http://schemas.openxmlformats.org/officeDocument/2006/relationships/hyperlink" Id="rId15"/>
    <Relationship TargetMode="External" Target="https://www.legis.iowa.gov/docs/ico/chapter/256.183.pdf" Type="http://schemas.openxmlformats.org/officeDocument/2006/relationships/hyperlink" Id="rId16"/>
    <Relationship TargetMode="External" Target="https://www.legis.iowa.gov/docs/ico/chapter/256.191.pdf" Type="http://schemas.openxmlformats.org/officeDocument/2006/relationships/hyperlink" Id="rId17"/>
    <Relationship TargetMode="External" Target="https://www.legis.iowa.gov/docs/ico/chapter/256.183.pdf" Type="http://schemas.openxmlformats.org/officeDocument/2006/relationships/hyperlink" Id="rId18"/>
    <Relationship TargetMode="External" Target="https://www.legis.iowa.gov/docs/ico/chapter/256.191.pdf" Type="http://schemas.openxmlformats.org/officeDocument/2006/relationships/hyperlink" Id="rId19"/>
    <Relationship TargetMode="External" Target="https://www.legis.iowa.gov/docs/ico/chapter/256.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