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ORGANIZATION AND OPERATION</w:t>
      </w:r>
    </w:p>
    <w:p>
      <w:pPr>
        <w:spacing w:before="0" w:after="0"/>
        <w:ind w:left="120"/>
        <w:jc w:val="center"/>
      </w:pPr>
      <w:r>
        <w:rPr>
          <w:rFonts w:ascii="Times New Roman" w:hAnsi="Times New Roman"/>
          <w:b w:val="false"/>
          <w:i w:val="false"/>
          <w:color w:val="000000"/>
          <w:sz w:val="14"/>
        </w:rPr>
        <w:t>[Prior to 8/10/88, see College Aid Commission, 245—Ch 12]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3/11/31</w:t>
      </w:r>
    </w:p>
    <w:p>
      <w:pPr>
        <w:spacing w:before="0" w:after="0"/>
        <w:ind w:left="120"/>
        <w:jc w:val="both"/>
      </w:pPr>
      <w:r>
        <w:rPr>
          <w:rFonts w:ascii="Times New Roman" w:hAnsi="Times New Roman"/>
          <w:b/>
          <w:i w:val="false"/>
          <w:color w:val="000000"/>
          <w:sz w:val="22"/>
        </w:rPr>
        <w:t>283—1.1</w:t>
      </w:r>
      <w:r>
        <w:rPr>
          <w:rFonts w:ascii="Times New Roman" w:hAnsi="Times New Roman"/>
          <w:b/>
          <w:i w:val="false"/>
          <w:color w:val="000000"/>
          <w:sz w:val="22"/>
        </w:rPr>
        <w:t xml:space="preserve">(256) </w:t>
      </w:r>
      <w:r>
        <w:rPr>
          <w:rFonts w:ascii="Times New Roman" w:hAnsi="Times New Roman"/>
          <w:b/>
          <w:i w:val="false"/>
          <w:color w:val="000000"/>
          <w:sz w:val="22"/>
        </w:rPr>
        <w:t xml:space="preserve">Purpose. </w:t>
      </w:r>
      <w:r>
        <w:rPr>
          <w:rFonts w:ascii="Times New Roman" w:hAnsi="Times New Roman"/>
          <w:b w:val="false"/>
          <w:i w:val="false"/>
          <w:color w:val="000000"/>
          <w:sz w:val="22"/>
        </w:rPr>
        <w:t>This chapter describes the organization, operation, and location of the college student aid commission (hereinafter generally referred to as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0040D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283—1.2</w:t>
      </w:r>
      <w:r>
        <w:rPr>
          <w:rFonts w:ascii="Times New Roman" w:hAnsi="Times New Roman"/>
          <w:b/>
          <w:i w:val="false"/>
          <w:color w:val="000000"/>
          <w:sz w:val="22"/>
        </w:rPr>
        <w:t xml:space="preserve">(261) </w:t>
      </w:r>
      <w:r>
        <w:rPr>
          <w:rFonts w:ascii="Times New Roman" w:hAnsi="Times New Roman"/>
          <w:b/>
          <w:i w:val="false"/>
          <w:color w:val="000000"/>
          <w:sz w:val="22"/>
        </w:rPr>
        <w:t xml:space="preserve">Organization and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The location and mailing address of the commission are posted on the Iowa department of education website (</w:t>
      </w:r>
      <w:hyperlink r:id="rId5">
        <w:r>
          <w:rPr>
            <w:rStyle w:val="Hyperlink"/>
            <w:rFonts w:ascii="Times New Roman" w:hAnsi="Times New Roman"/>
            <w:b w:val="false"/>
            <w:i w:val="false"/>
            <w:color w:val="000000"/>
            <w:sz w:val="22"/>
            <w:u w:val="single"/>
          </w:rPr>
          <w:t>educateiowa.gov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color w:val="000000"/>
          <w:sz w:val="22"/>
        </w:rPr>
        <w:t xml:space="preserve">The commission board. </w:t>
      </w:r>
      <w:r>
        <w:rPr>
          <w:rFonts w:ascii="Times New Roman" w:hAnsi="Times New Roman"/>
          <w:b w:val="false"/>
          <w:i w:val="false"/>
          <w:color w:val="000000"/>
          <w:sz w:val="22"/>
        </w:rPr>
        <w:t xml:space="preserve">The commission board’s membership is governed by Iowa Code section </w:t>
      </w:r>
      <w:hyperlink r:id="rId6">
        <w:r>
          <w:rPr>
            <w:rStyle w:val="Hyperlink"/>
            <w:rFonts w:ascii="Times New Roman" w:hAnsi="Times New Roman"/>
            <w:b w:val="false"/>
            <w:i w:val="false"/>
            <w:color w:val="000000"/>
            <w:sz w:val="22"/>
          </w:rPr>
          <w:t>256.176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w:t>
      </w:r>
      <w:r>
        <w:rPr>
          <w:rFonts w:ascii="Times New Roman" w:hAnsi="Times New Roman"/>
          <w:b w:val="false"/>
          <w:i w:val="false"/>
          <w:color w:val="000000"/>
          <w:sz w:val="22"/>
        </w:rPr>
        <w:t> </w:t>
      </w:r>
      <w:r>
        <w:rPr>
          <w:rFonts w:ascii="Times New Roman" w:hAnsi="Times New Roman"/>
          <w:b w:val="false"/>
          <w:i/>
          <w:color w:val="000000"/>
          <w:sz w:val="22"/>
        </w:rPr>
        <w:t xml:space="preserve">Commission board meetings.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quorum is governed by Iowa Code section </w:t>
      </w:r>
      <w:hyperlink r:id="rId7">
        <w:r>
          <w:rPr>
            <w:rStyle w:val="Hyperlink"/>
            <w:rFonts w:ascii="Times New Roman" w:hAnsi="Times New Roman"/>
            <w:b w:val="false"/>
            <w:i w:val="false"/>
            <w:color w:val="000000"/>
            <w:sz w:val="22"/>
          </w:rPr>
          <w:t>17A.2(1)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specific time is set aside at each meeting for the public to address the commission board. As a general guideline, a limit of five minutes will be allocated for each of these presentations. If a large group seeks to address a specific issue, the chairperson may limit the number of speakers. Members of the public who wish to address the commission board during this portion of the meeting are required to notify the commission’s administrative secretary prior to the meeting. The person’s name and the subject of the person’s remarks must be provided. To accommodate maximum public participation, members of the public are encouraged to submit requests at least 72 hours in advance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w:t>
      </w: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 xml:space="preserve">The commission is established by Iowa Code section </w:t>
      </w:r>
      <w:hyperlink r:id="rId8">
        <w:r>
          <w:rPr>
            <w:rStyle w:val="Hyperlink"/>
            <w:rFonts w:ascii="Times New Roman" w:hAnsi="Times New Roman"/>
            <w:b w:val="false"/>
            <w:i w:val="false"/>
            <w:color w:val="000000"/>
            <w:sz w:val="22"/>
          </w:rPr>
          <w:t>256.176</w:t>
        </w:r>
      </w:hyperlink>
      <w:r>
        <w:rPr>
          <w:rFonts w:ascii="Times New Roman" w:hAnsi="Times New Roman"/>
          <w:b w:val="false"/>
          <w:i w:val="false"/>
          <w:color w:val="000000"/>
          <w:sz w:val="22"/>
        </w:rPr>
        <w:t xml:space="preserve"> to perform the function and duties set forth in Iowa Code chapter </w:t>
      </w:r>
      <w:hyperlink r:id="rId9">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xml:space="preserve">, subchapter VII, part 4; Iowa Code chapter </w:t>
      </w:r>
      <w:hyperlink r:id="rId10">
        <w:r>
          <w:rPr>
            <w:rStyle w:val="Hyperlink"/>
            <w:rFonts w:ascii="Times New Roman" w:hAnsi="Times New Roman"/>
            <w:b w:val="false"/>
            <w:i w:val="false"/>
            <w:color w:val="000000"/>
            <w:sz w:val="22"/>
          </w:rPr>
          <w:t>261B</w:t>
        </w:r>
      </w:hyperlink>
      <w:r>
        <w:rPr>
          <w:rFonts w:ascii="Times New Roman" w:hAnsi="Times New Roman"/>
          <w:b w:val="false"/>
          <w:i w:val="false"/>
          <w:color w:val="000000"/>
          <w:sz w:val="22"/>
        </w:rPr>
        <w:t>; other Iowa Code provisions; and the Iowa Administrative Code. The commission exists as a bureau within the organizational structure of the Iowa department of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0040D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1">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1/7/77, Notice 10/20/76—published 1/26/77, effective 3/2/77]</w:t>
      </w:r>
    </w:p>
    <w:p>
      <w:pPr>
        <w:spacing w:before="0" w:after="0"/>
        <w:ind w:left="120"/>
        <w:jc w:val="center"/>
      </w:pPr>
      <w:r>
        <w:rPr>
          <w:rFonts w:ascii="Times New Roman" w:hAnsi="Times New Roman"/>
          <w:b w:val="false"/>
          <w:i w:val="false"/>
          <w:color w:val="000000"/>
          <w:sz w:val="21"/>
        </w:rPr>
        <w:t>[Filed 2/16/79, Notice 11/1/78—published 3/7/79, effective 4/11/79]</w:t>
      </w:r>
    </w:p>
    <w:p>
      <w:pPr>
        <w:spacing w:before="0" w:after="0"/>
        <w:ind w:left="120"/>
        <w:jc w:val="center"/>
      </w:pPr>
      <w:r>
        <w:rPr>
          <w:rFonts w:ascii="Times New Roman" w:hAnsi="Times New Roman"/>
          <w:b w:val="false"/>
          <w:i w:val="false"/>
          <w:color w:val="000000"/>
          <w:sz w:val="21"/>
        </w:rPr>
        <w:t>[Filed 12/18/81, Notice 10/14/81—published 1/6/82, effective 2/10/82]</w:t>
      </w:r>
    </w:p>
    <w:p>
      <w:pPr>
        <w:spacing w:before="0" w:after="0"/>
        <w:ind w:left="120"/>
        <w:jc w:val="center"/>
      </w:pPr>
      <w:r>
        <w:rPr>
          <w:rFonts w:ascii="Times New Roman" w:hAnsi="Times New Roman"/>
          <w:b w:val="false"/>
          <w:i w:val="false"/>
          <w:color w:val="000000"/>
          <w:sz w:val="21"/>
        </w:rPr>
        <w:t>[Filed 3/9/82, Notice 1/6/82—published 3/31/82, effective 5/5/82]</w:t>
      </w:r>
    </w:p>
    <w:p>
      <w:pPr>
        <w:spacing w:before="0" w:after="0"/>
        <w:ind w:left="120"/>
        <w:jc w:val="center"/>
      </w:pPr>
      <w:r>
        <w:rPr>
          <w:rFonts w:ascii="Times New Roman" w:hAnsi="Times New Roman"/>
          <w:b w:val="false"/>
          <w:i w:val="false"/>
          <w:color w:val="000000"/>
          <w:sz w:val="21"/>
        </w:rPr>
        <w:t>[Filed 6/15/84, Notice 4/11/84—published 7/4/84, effective 8/8/84]</w:t>
      </w:r>
    </w:p>
    <w:p>
      <w:pPr>
        <w:spacing w:before="0" w:after="0"/>
        <w:ind w:left="120"/>
        <w:jc w:val="center"/>
      </w:pPr>
      <w:r>
        <w:rPr>
          <w:rFonts w:ascii="Times New Roman" w:hAnsi="Times New Roman"/>
          <w:b w:val="false"/>
          <w:i w:val="false"/>
          <w:color w:val="000000"/>
          <w:sz w:val="21"/>
        </w:rPr>
        <w:t>[Filed 9/18/85, Notice 7/31/85—published 10/9/85, effective 11/13/85]</w:t>
      </w:r>
    </w:p>
    <w:p>
      <w:pPr>
        <w:spacing w:before="0" w:after="0"/>
        <w:ind w:left="120"/>
        <w:jc w:val="center"/>
      </w:pPr>
      <w:r>
        <w:rPr>
          <w:rFonts w:ascii="Times New Roman" w:hAnsi="Times New Roman"/>
          <w:b w:val="false"/>
          <w:i w:val="false"/>
          <w:color w:val="000000"/>
          <w:sz w:val="21"/>
        </w:rPr>
        <w:t>[Filed 7/22/88, Notice 3/9/88—published 8/10/88, effective 9/14/88]</w:t>
      </w:r>
    </w:p>
    <w:p>
      <w:pPr>
        <w:spacing w:before="0" w:after="0"/>
        <w:ind w:left="120"/>
        <w:jc w:val="center"/>
      </w:pPr>
      <w:r>
        <w:rPr>
          <w:rFonts w:ascii="Times New Roman" w:hAnsi="Times New Roman"/>
          <w:b w:val="false"/>
          <w:i w:val="false"/>
          <w:color w:val="000000"/>
          <w:sz w:val="21"/>
        </w:rPr>
        <w:t>[Filed 1/29/91, Notice 12/12/90—published 2/20/91, effective 3/27/91]</w:t>
      </w:r>
    </w:p>
    <w:p>
      <w:pPr>
        <w:spacing w:before="0" w:after="0"/>
        <w:ind w:left="120"/>
        <w:jc w:val="center"/>
      </w:pPr>
      <w:r>
        <w:rPr>
          <w:rFonts w:ascii="Times New Roman" w:hAnsi="Times New Roman"/>
          <w:b w:val="false"/>
          <w:i w:val="false"/>
          <w:color w:val="000000"/>
          <w:sz w:val="21"/>
        </w:rPr>
        <w:t>[Filed 1/30/92, Notice 12/11/91—published 2/19/92, effective 3/25/92]</w:t>
      </w:r>
    </w:p>
    <w:p>
      <w:pPr>
        <w:spacing w:before="0" w:after="0"/>
        <w:ind w:left="120"/>
        <w:jc w:val="center"/>
      </w:pPr>
      <w:r>
        <w:rPr>
          <w:rFonts w:ascii="Times New Roman" w:hAnsi="Times New Roman"/>
          <w:b w:val="false"/>
          <w:i w:val="false"/>
          <w:color w:val="000000"/>
          <w:sz w:val="21"/>
        </w:rPr>
        <w:t>[Filed 9/25/92, Notice 8/5/92—published 10/14/92, effective 11/18/92]</w:t>
      </w:r>
    </w:p>
    <w:p>
      <w:pPr>
        <w:spacing w:before="0" w:after="0"/>
        <w:ind w:left="120"/>
        <w:jc w:val="center"/>
      </w:pPr>
      <w:r>
        <w:rPr>
          <w:rFonts w:ascii="Times New Roman" w:hAnsi="Times New Roman"/>
          <w:b w:val="false"/>
          <w:i w:val="false"/>
          <w:color w:val="000000"/>
          <w:sz w:val="21"/>
        </w:rPr>
        <w:t>[Filed 12/1/97, Notice 10/8/97—published 12/17/97, effective 1/28/98]</w:t>
      </w:r>
    </w:p>
    <w:p>
      <w:pPr>
        <w:spacing w:before="0" w:after="0"/>
        <w:ind w:left="120"/>
        <w:jc w:val="center"/>
      </w:pPr>
      <w:r>
        <w:rPr>
          <w:rFonts w:ascii="Times New Roman" w:hAnsi="Times New Roman"/>
          <w:b w:val="false"/>
          <w:i w:val="false"/>
          <w:color w:val="000000"/>
          <w:sz w:val="21"/>
        </w:rPr>
        <w:t>[Filed 1/30/03, Notice 12/11/02—published 2/19/03, effective 3/26/03]</w:t>
      </w:r>
    </w:p>
    <w:p>
      <w:pPr>
        <w:spacing w:before="0" w:after="0"/>
        <w:ind w:left="120"/>
        <w:jc w:val="center"/>
      </w:pPr>
      <w:r>
        <w:rPr>
          <w:rFonts w:ascii="Times New Roman" w:hAnsi="Times New Roman"/>
          <w:b w:val="false"/>
          <w:i w:val="false"/>
          <w:color w:val="000000"/>
          <w:sz w:val="21"/>
        </w:rPr>
        <w:t>[Filed ARC 9391B</w:t>
      </w:r>
      <w:r>
        <w:rPr>
          <w:rFonts w:ascii="Times New Roman" w:hAnsi="Times New Roman"/>
          <w:b w:val="false"/>
          <w:i w:val="false"/>
          <w:color w:val="000000"/>
          <w:sz w:val="21"/>
        </w:rPr>
        <w:t xml:space="preserve"> (Notice ARC 9271B, IAB 12/15/10)</w:t>
      </w:r>
      <w:r>
        <w:rPr>
          <w:rFonts w:ascii="Times New Roman" w:hAnsi="Times New Roman"/>
          <w:b w:val="false"/>
          <w:i w:val="false"/>
          <w:color w:val="000000"/>
          <w:sz w:val="21"/>
        </w:rPr>
        <w:t>, IAB 2/23/11, effective 3/30/11]</w:t>
      </w:r>
    </w:p>
    <w:p>
      <w:pPr>
        <w:spacing w:before="0" w:after="0"/>
        <w:ind w:left="120"/>
        <w:jc w:val="center"/>
      </w:pPr>
      <w:r>
        <w:rPr>
          <w:rFonts w:ascii="Times New Roman" w:hAnsi="Times New Roman"/>
          <w:b w:val="false"/>
          <w:i w:val="false"/>
          <w:color w:val="000000"/>
          <w:sz w:val="21"/>
        </w:rPr>
        <w:t>[Filed ARC 1318C</w:t>
      </w:r>
      <w:r>
        <w:rPr>
          <w:rFonts w:ascii="Times New Roman" w:hAnsi="Times New Roman"/>
          <w:b w:val="false"/>
          <w:i w:val="false"/>
          <w:color w:val="000000"/>
          <w:sz w:val="21"/>
        </w:rPr>
        <w:t xml:space="preserve"> (Notice ARC 1123C, IAB 10/16/13)</w:t>
      </w:r>
      <w:r>
        <w:rPr>
          <w:rFonts w:ascii="Times New Roman" w:hAnsi="Times New Roman"/>
          <w:b w:val="false"/>
          <w:i w:val="false"/>
          <w:color w:val="000000"/>
          <w:sz w:val="21"/>
        </w:rPr>
        <w:t>, IAB 2/19/14, effective 3/26/14]</w:t>
      </w:r>
    </w:p>
    <w:p>
      <w:pPr>
        <w:spacing w:before="0" w:after="0"/>
        <w:ind w:left="120"/>
        <w:jc w:val="center"/>
      </w:pPr>
      <w:r>
        <w:rPr>
          <w:rFonts w:ascii="Times New Roman" w:hAnsi="Times New Roman"/>
          <w:b w:val="false"/>
          <w:i w:val="false"/>
          <w:color w:val="000000"/>
          <w:sz w:val="21"/>
        </w:rPr>
        <w:t>[Filed ARC 3699C</w:t>
      </w:r>
      <w:r>
        <w:rPr>
          <w:rFonts w:ascii="Times New Roman" w:hAnsi="Times New Roman"/>
          <w:b w:val="false"/>
          <w:i w:val="false"/>
          <w:color w:val="000000"/>
          <w:sz w:val="21"/>
        </w:rPr>
        <w:t xml:space="preserve"> (Notice ARC 3516C, IAB 12/20/17)</w:t>
      </w:r>
      <w:r>
        <w:rPr>
          <w:rFonts w:ascii="Times New Roman" w:hAnsi="Times New Roman"/>
          <w:b w:val="false"/>
          <w:i w:val="false"/>
          <w:color w:val="000000"/>
          <w:sz w:val="21"/>
        </w:rPr>
        <w:t>, IAB 3/28/18, effective 5/2/18]</w:t>
      </w:r>
      <w:r>
        <w:rPr>
          <w:rFonts w:ascii="Times New Roman" w:hAnsi="Times New Roman"/>
          <w:b w:val="false"/>
          <w:i w:val="false"/>
          <w:color w:val="000000"/>
          <w:sz w:val="10"/>
        </w:rPr>
        <w:t>1</w:t>
      </w:r>
    </w:p>
    <w:p>
      <w:pPr>
        <w:spacing w:before="0" w:after="0"/>
        <w:ind w:left="120"/>
        <w:jc w:val="center"/>
      </w:pPr>
    </w:p>
    <w:p>
      <w:pPr>
        <w:spacing w:before="0" w:after="0"/>
        <w:ind w:left="120"/>
        <w:jc w:val="center"/>
      </w:pPr>
      <w:r>
        <w:rPr>
          <w:rFonts w:ascii="Times New Roman" w:hAnsi="Times New Roman"/>
          <w:b w:val="false"/>
          <w:i w:val="false"/>
          <w:color w:val="000000"/>
          <w:sz w:val="21"/>
        </w:rPr>
        <w:t>[Filed Emergency ARC 3844C, IAB 6/20/18, effective 5/18/18]</w:t>
      </w:r>
      <w:r>
        <w:br/>
      </w:r>
      <w:r>
        <w:rPr>
          <w:rFonts w:ascii="Times New Roman" w:hAnsi="Times New Roman"/>
          <w:b w:val="false"/>
          <w:i w:val="false"/>
          <w:color w:val="000000"/>
          <w:sz w:val="21"/>
        </w:rPr>
        <w:t>[Filed ARC 3854C</w:t>
      </w:r>
      <w:r>
        <w:rPr>
          <w:rFonts w:ascii="Times New Roman" w:hAnsi="Times New Roman"/>
          <w:b w:val="false"/>
          <w:i w:val="false"/>
          <w:color w:val="000000"/>
          <w:sz w:val="21"/>
        </w:rPr>
        <w:t xml:space="preserve"> (Notice ARC 3711C, IAB 3/28/18)</w:t>
      </w:r>
      <w:r>
        <w:rPr>
          <w:rFonts w:ascii="Times New Roman" w:hAnsi="Times New Roman"/>
          <w:b w:val="false"/>
          <w:i w:val="false"/>
          <w:color w:val="000000"/>
          <w:sz w:val="21"/>
        </w:rPr>
        <w:t>, IAB 6/20/18, effective 7/25/18]</w:t>
      </w:r>
    </w:p>
    <w:p>
      <w:pPr>
        <w:spacing w:before="0" w:after="0"/>
        <w:ind w:left="120"/>
        <w:jc w:val="center"/>
      </w:pPr>
      <w:r>
        <w:rPr>
          <w:rFonts w:ascii="Times New Roman" w:hAnsi="Times New Roman"/>
          <w:b w:val="false"/>
          <w:i w:val="false"/>
          <w:color w:val="000000"/>
          <w:sz w:val="21"/>
        </w:rPr>
        <w:t>[Filed ARC 4373C</w:t>
      </w:r>
      <w:r>
        <w:rPr>
          <w:rFonts w:ascii="Times New Roman" w:hAnsi="Times New Roman"/>
          <w:b w:val="false"/>
          <w:i w:val="false"/>
          <w:color w:val="000000"/>
          <w:sz w:val="21"/>
        </w:rPr>
        <w:t xml:space="preserve"> (Notice ARC 4080C, IAB 10/24/18)</w:t>
      </w:r>
      <w:r>
        <w:rPr>
          <w:rFonts w:ascii="Times New Roman" w:hAnsi="Times New Roman"/>
          <w:b w:val="false"/>
          <w:i w:val="false"/>
          <w:color w:val="000000"/>
          <w:sz w:val="21"/>
        </w:rPr>
        <w:t>, IAB 3/27/19, effective 5/1/19]</w:t>
      </w:r>
    </w:p>
    <w:p>
      <w:pPr>
        <w:spacing w:before="0" w:after="0"/>
        <w:ind w:left="120"/>
        <w:jc w:val="center"/>
      </w:pPr>
      <w:r>
        <w:rPr>
          <w:rFonts w:ascii="Times New Roman" w:hAnsi="Times New Roman"/>
          <w:b w:val="false"/>
          <w:i w:val="false"/>
          <w:color w:val="000000"/>
          <w:sz w:val="21"/>
        </w:rPr>
        <w:t>[Editorial change: IAC Supplement 4/3/24]</w:t>
      </w:r>
    </w:p>
    <w:p>
      <w:pPr>
        <w:spacing w:before="0" w:after="0"/>
        <w:ind w:left="120"/>
        <w:jc w:val="center"/>
      </w:pPr>
      <w:r>
        <w:rPr>
          <w:rFonts w:ascii="Times New Roman" w:hAnsi="Times New Roman"/>
          <w:b w:val="false"/>
          <w:i w:val="false"/>
          <w:color w:val="000000"/>
          <w:sz w:val="21"/>
        </w:rPr>
        <w:t>[Filed ARC 0040D</w:t>
      </w:r>
      <w:r>
        <w:rPr>
          <w:rFonts w:ascii="Times New Roman" w:hAnsi="Times New Roman"/>
          <w:b w:val="false"/>
          <w:i w:val="false"/>
          <w:color w:val="000000"/>
          <w:sz w:val="21"/>
        </w:rPr>
        <w:t xml:space="preserve"> (Notice ARC 9737C, IAB 11/26/25)</w:t>
      </w:r>
      <w:r>
        <w:rPr>
          <w:rFonts w:ascii="Times New Roman" w:hAnsi="Times New Roman"/>
          <w:b w:val="false"/>
          <w:i w:val="false"/>
          <w:color w:val="000000"/>
          <w:sz w:val="21"/>
        </w:rPr>
        <w:t>, IAB 2/4/26, effective 3/11/26]</w:t>
      </w:r>
    </w:p>
    <w:p>
      <w:pPr>
        <w:pBdr>
          <w:bottom w:space="2"/>
        </w:pBdr>
        <w:spacing w:before="0" w:after="0"/>
        <w:ind w:left="120"/>
        <w:jc w:val="both"/>
      </w:pPr>
      <w:r>
        <w:rPr>
          <w:rFonts w:ascii="Times New Roman" w:hAnsi="Times New Roman"/>
          <w:b w:val="false"/>
          <w:i w:val="false"/>
          <w:color w:val="000000"/>
          <w:sz w:val="22"/>
        </w:rPr>
        <w:t>May 2, 2018, effective date of 1.2(3) [ARC 3699C] delayed 70 days by the Administrative Rules Review Committee at its meeting held April 6, 2018.</w:t>
      </w:r>
    </w:p>
    <w:sectPr>
      <w:footerReference r:id="rId12"/>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educateiowa.gov" Type="http://schemas.openxmlformats.org/officeDocument/2006/relationships/hyperlink" Id="rId5"/>
    <Relationship TargetMode="External" Target="https://www.legis.iowa.gov/docs/ico/chapter/256.176.pdf" Type="http://schemas.openxmlformats.org/officeDocument/2006/relationships/hyperlink" Id="rId6"/>
    <Relationship TargetMode="External" Target="https://www.legis.iowa.gov/docs/ico/chapter/17A.2.pdf" Type="http://schemas.openxmlformats.org/officeDocument/2006/relationships/hyperlink" Id="rId7"/>
    <Relationship TargetMode="External" Target="https://www.legis.iowa.gov/docs/ico/chapter/256.176.pdf" Type="http://schemas.openxmlformats.org/officeDocument/2006/relationships/hyperlink" Id="rId8"/>
    <Relationship TargetMode="External" Target="https://www.legis.iowa.gov/docs/ico/chapter/256.pdf" Type="http://schemas.openxmlformats.org/officeDocument/2006/relationships/hyperlink" Id="rId9"/>
    <Relationship TargetMode="External" Target="https://www.legis.iowa.gov/docs/ico/chapter/261B.pdf" Type="http://schemas.openxmlformats.org/officeDocument/2006/relationships/hyperlink" Id="rId10"/>
    <Relationship TargetMode="External" Target="https://www.legis.iowa.gov/docs/ico/chapter/256.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