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 xml:space="preserve"> BACKGROUND CHECKS AND ISSUANCE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282—9.1</w:t>
      </w:r>
      <w:r>
        <w:rPr>
          <w:rFonts w:ascii="Times New Roman" w:hAnsi="Times New Roman"/>
          <w:b/>
          <w:i w:val="false"/>
          <w:color w:val="000000"/>
          <w:sz w:val="22"/>
        </w:rPr>
        <w:t xml:space="preserve">(256) </w:t>
      </w:r>
      <w:r>
        <w:rPr>
          <w:rFonts w:ascii="Times New Roman" w:hAnsi="Times New Roman"/>
          <w:b/>
          <w:i w:val="false"/>
          <w:color w:val="000000"/>
          <w:sz w:val="22"/>
        </w:rPr>
        <w:t xml:space="preserve">Background checks. </w:t>
      </w:r>
      <w:r>
        <w:rPr>
          <w:rFonts w:ascii="Times New Roman" w:hAnsi="Times New Roman"/>
          <w:b w:val="false"/>
          <w:i w:val="false"/>
          <w:color w:val="000000"/>
          <w:sz w:val="22"/>
        </w:rPr>
        <w:t>Licenses, authorizations, certificates, and statements of professional recognition are issued upon the filing of an application with the board of educational examiners and upon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background check. </w:t>
      </w:r>
      <w:r>
        <w:rPr>
          <w:rFonts w:ascii="Times New Roman" w:hAnsi="Times New Roman"/>
          <w:b w:val="false"/>
          <w:i w:val="false"/>
          <w:color w:val="000000"/>
          <w:sz w:val="22"/>
        </w:rPr>
        <w:t>An initial applicant will be required to complete fingerprinting for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Division of criminal investigation background check. </w:t>
      </w:r>
      <w:r>
        <w:rPr>
          <w:rFonts w:ascii="Times New Roman" w:hAnsi="Times New Roman"/>
          <w:b w:val="false"/>
          <w:i w:val="false"/>
          <w:color w:val="000000"/>
          <w:sz w:val="22"/>
        </w:rPr>
        <w:t>A division of criminal investigation (DCI) background check will be conducted on initial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Registries and records check. </w:t>
      </w:r>
      <w:r>
        <w:rPr>
          <w:rFonts w:ascii="Times New Roman" w:hAnsi="Times New Roman"/>
          <w:b w:val="false"/>
          <w:i w:val="false"/>
          <w:color w:val="000000"/>
          <w:sz w:val="22"/>
        </w:rPr>
        <w:t xml:space="preserve">A check of the following registries and records will be conducted on initial applicants: the sex offender registry under Iowa Code section </w:t>
      </w:r>
      <w:hyperlink r:id="rId5">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the central registry for child abuse information established under Iowa Code chapter </w:t>
      </w:r>
      <w:hyperlink r:id="rId6">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xml:space="preserve">, the central registry for dependent adult abuse information maintained under Iowa Code chapter </w:t>
      </w:r>
      <w:hyperlink r:id="rId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and the information in the Iowa court information system available to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282—9.2</w:t>
      </w:r>
      <w:r>
        <w:rPr>
          <w:rFonts w:ascii="Times New Roman" w:hAnsi="Times New Roman"/>
          <w:b/>
          <w:i w:val="false"/>
          <w:color w:val="000000"/>
          <w:sz w:val="22"/>
        </w:rPr>
        <w:t xml:space="preserve">(256) </w:t>
      </w:r>
      <w:r>
        <w:rPr>
          <w:rFonts w:ascii="Times New Roman" w:hAnsi="Times New Roman"/>
          <w:b/>
          <w:i w:val="false"/>
          <w:color w:val="000000"/>
          <w:sz w:val="22"/>
        </w:rPr>
        <w:t xml:space="preserve">Renewals. </w:t>
      </w:r>
      <w:r>
        <w:rPr>
          <w:rFonts w:ascii="Times New Roman" w:hAnsi="Times New Roman"/>
          <w:b w:val="false"/>
          <w:i w:val="false"/>
          <w:color w:val="000000"/>
          <w:sz w:val="22"/>
        </w:rPr>
        <w:t xml:space="preserve">Every applicant for renewal or conversion is required to submit a completed application with the applicant’s signature to facilitate a check of the sex offender registry information under Iowa Code section </w:t>
      </w:r>
      <w:hyperlink r:id="rId8">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the central registry for child abuse information established under Iowa Code chapter </w:t>
      </w:r>
      <w:hyperlink r:id="rId9">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xml:space="preserve">, the central registry for dependent adult abuse information maintained under Iowa Code chapter </w:t>
      </w:r>
      <w:hyperlink r:id="rId10">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and the Iowa court information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282—9.3</w:t>
      </w:r>
      <w:r>
        <w:rPr>
          <w:rFonts w:ascii="Times New Roman" w:hAnsi="Times New Roman"/>
          <w:b/>
          <w:i w:val="false"/>
          <w:color w:val="000000"/>
          <w:sz w:val="22"/>
        </w:rPr>
        <w:t xml:space="preserve">(256) </w:t>
      </w:r>
      <w:r>
        <w:rPr>
          <w:rFonts w:ascii="Times New Roman" w:hAnsi="Times New Roman"/>
          <w:b/>
          <w:i w:val="false"/>
          <w:color w:val="000000"/>
          <w:sz w:val="22"/>
        </w:rPr>
        <w:t xml:space="preserve">Fees. </w:t>
      </w:r>
      <w:r>
        <w:rPr>
          <w:rFonts w:ascii="Times New Roman" w:hAnsi="Times New Roman"/>
          <w:b w:val="false"/>
          <w:i w:val="false"/>
          <w:color w:val="000000"/>
          <w:sz w:val="22"/>
        </w:rPr>
        <w:t>Fees for all background check processes will be assessed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282—9.4</w:t>
      </w:r>
      <w:r>
        <w:rPr>
          <w:rFonts w:ascii="Times New Roman" w:hAnsi="Times New Roman"/>
          <w:b/>
          <w:i w:val="false"/>
          <w:color w:val="000000"/>
          <w:sz w:val="22"/>
        </w:rPr>
        <w:t xml:space="preserve">(256) </w:t>
      </w:r>
      <w:r>
        <w:rPr>
          <w:rFonts w:ascii="Times New Roman" w:hAnsi="Times New Roman"/>
          <w:b/>
          <w:i w:val="false"/>
          <w:color w:val="000000"/>
          <w:sz w:val="22"/>
        </w:rPr>
        <w:t xml:space="preserve">Temporary permits. </w:t>
      </w:r>
      <w:r>
        <w:rPr>
          <w:rFonts w:ascii="Times New Roman" w:hAnsi="Times New Roman"/>
          <w:b w:val="false"/>
          <w:i w:val="false"/>
          <w:color w:val="000000"/>
          <w:sz w:val="22"/>
        </w:rPr>
        <w:t xml:space="preserve">The executive director may issue a temporary permit to an applicant after receipt of a fully completed application; determination that the applicant meets all applicable prerequisites for issuance of the license, certification, or authorization; and satisfactory evaluation of the Iowa criminal history background check and registries and records check set forth in subrules </w:t>
      </w:r>
      <w:r>
        <w:rPr>
          <w:rFonts w:ascii="Times New Roman" w:hAnsi="Times New Roman"/>
          <w:b w:val="false"/>
          <w:i w:val="false"/>
          <w:color w:val="000000"/>
          <w:sz w:val="22"/>
        </w:rPr>
        <w:t>9.1(2)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9.1(3)</w:t>
      </w:r>
      <w:r>
        <w:rPr>
          <w:rFonts w:ascii="Times New Roman" w:hAnsi="Times New Roman"/>
          <w:b w:val="false"/>
          <w:i w:val="false"/>
          <w:color w:val="000000"/>
          <w:sz w:val="22"/>
        </w:rPr>
        <w:t>. The temporary permit will expire upon issuance of the requested license, certification, or authorization or 90 days from the date of issuance of the permit, whichever occurs first, unless the temporary permit is extended upon a finding of good cause by the executive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282—9.5</w:t>
      </w:r>
      <w:r>
        <w:rPr>
          <w:rFonts w:ascii="Times New Roman" w:hAnsi="Times New Roman"/>
          <w:b/>
          <w:i w:val="false"/>
          <w:color w:val="000000"/>
          <w:sz w:val="22"/>
        </w:rPr>
        <w:t xml:space="preserve">(256) </w:t>
      </w:r>
      <w:r>
        <w:rPr>
          <w:rFonts w:ascii="Times New Roman" w:hAnsi="Times New Roman"/>
          <w:b/>
          <w:i w:val="false"/>
          <w:color w:val="000000"/>
          <w:sz w:val="22"/>
        </w:rPr>
        <w:t xml:space="preserve">Issue and expiration dates, corrections, and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Issue and expiration dates on original license. </w:t>
      </w:r>
      <w:r>
        <w:rPr>
          <w:rFonts w:ascii="Times New Roman" w:hAnsi="Times New Roman"/>
          <w:b w:val="false"/>
          <w:i w:val="false"/>
          <w:color w:val="000000"/>
          <w:sz w:val="22"/>
        </w:rPr>
        <w:t>A license is valid only from and after the date of issuance. Licenses, authorizations, certificates, and statements of professional recognition will expire on the last day of the practitioner’s birth month after the term of the license unless otherwise specified. If the expiration date is changed by rule, the change may be retroactive.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Correcting licenses. </w:t>
      </w:r>
      <w:r>
        <w:rPr>
          <w:rFonts w:ascii="Times New Roman" w:hAnsi="Times New Roman"/>
          <w:b w:val="false"/>
          <w:i w:val="false"/>
          <w:color w:val="000000"/>
          <w:sz w:val="22"/>
        </w:rPr>
        <w:t xml:space="preserve">If a licensee notifies board staff of a typographical or clerical error on the license within 30 days of the date of the board’s issuance of a license, a corrected license will be issued without charge to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Fraud in procurement or renewal of licenses. </w:t>
      </w:r>
      <w:r>
        <w:rPr>
          <w:rFonts w:ascii="Times New Roman" w:hAnsi="Times New Roman"/>
          <w:b w:val="false"/>
          <w:i w:val="false"/>
          <w:color w:val="000000"/>
          <w:sz w:val="22"/>
        </w:rPr>
        <w:t>Fraud in procurement or renewal of a license or falsifying records for licensure purposes will constitute grounds for filing a complaint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282—9.6</w:t>
      </w:r>
      <w:r>
        <w:rPr>
          <w:rFonts w:ascii="Times New Roman" w:hAnsi="Times New Roman"/>
          <w:b/>
          <w:i w:val="false"/>
          <w:color w:val="000000"/>
          <w:sz w:val="22"/>
        </w:rPr>
        <w:t xml:space="preserve">(256) </w:t>
      </w:r>
      <w:r>
        <w:rPr>
          <w:rFonts w:ascii="Times New Roman" w:hAnsi="Times New Roman"/>
          <w:b/>
          <w:i w:val="false"/>
          <w:color w:val="000000"/>
          <w:sz w:val="22"/>
        </w:rPr>
        <w:t xml:space="preserve">Degrees and coursework. </w:t>
      </w:r>
      <w:r>
        <w:rPr>
          <w:rFonts w:ascii="Times New Roman" w:hAnsi="Times New Roman"/>
          <w:b w:val="false"/>
          <w:i w:val="false"/>
          <w:color w:val="000000"/>
          <w:sz w:val="22"/>
        </w:rPr>
        <w:t>Required degrees and college semester hour coursework will be earned through a college or university accredited by an institutional accrediting agency as recognized by the U.S. Department of Education. Licenses require the completion of a program that is approved for state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282—9.7</w:t>
      </w:r>
      <w:r>
        <w:rPr>
          <w:rFonts w:ascii="Times New Roman" w:hAnsi="Times New Roman"/>
          <w:b/>
          <w:i w:val="false"/>
          <w:color w:val="000000"/>
          <w:sz w:val="22"/>
        </w:rPr>
        <w:t xml:space="preserve">(256) </w:t>
      </w:r>
      <w:r>
        <w:rPr>
          <w:rFonts w:ascii="Times New Roman" w:hAnsi="Times New Roman"/>
          <w:b/>
          <w:i w:val="false"/>
          <w:color w:val="000000"/>
          <w:sz w:val="22"/>
        </w:rPr>
        <w:t xml:space="preserve">Reciprocity. </w:t>
      </w:r>
      <w:r>
        <w:rPr>
          <w:rFonts w:ascii="Times New Roman" w:hAnsi="Times New Roman"/>
          <w:b w:val="false"/>
          <w:i w:val="false"/>
          <w:color w:val="000000"/>
          <w:sz w:val="22"/>
        </w:rPr>
        <w:t xml:space="preserve">Reciprocity will be granted pursuant to Iowa Code sections </w:t>
      </w:r>
      <w:hyperlink r:id="rId11">
        <w:r>
          <w:rPr>
            <w:rStyle w:val="Hyperlink"/>
            <w:rFonts w:ascii="Times New Roman" w:hAnsi="Times New Roman"/>
            <w:b w:val="false"/>
            <w:i w:val="false"/>
            <w:color w:val="000000"/>
            <w:sz w:val="22"/>
          </w:rPr>
          <w:t>256.152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Endorsements will be granted based on comparable Iowa endorsements, and endorsement requirements may be waived in order to grant the most comparable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8808C</w:t>
      </w:r>
      <w:r>
        <w:rPr>
          <w:rFonts w:ascii="Times New Roman" w:hAnsi="Times New Roman"/>
          <w:b w:val="false"/>
          <w:i w:val="false"/>
          <w:color w:val="000000"/>
          <w:sz w:val="21"/>
        </w:rPr>
        <w:t xml:space="preserve"> (Notice ARC 8295C,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A.121.pdf" Type="http://schemas.openxmlformats.org/officeDocument/2006/relationships/hyperlink" Id="rId5"/>
    <Relationship TargetMode="External" Target="https://www.legis.iowa.gov/docs/ico/chapter/235A.pdf" Type="http://schemas.openxmlformats.org/officeDocument/2006/relationships/hyperlink" Id="rId6"/>
    <Relationship TargetMode="External" Target="https://www.legis.iowa.gov/docs/ico/chapter/235B.pdf" Type="http://schemas.openxmlformats.org/officeDocument/2006/relationships/hyperlink" Id="rId7"/>
    <Relationship TargetMode="External" Target="https://www.legis.iowa.gov/docs/ico/chapter/692A.121.pdf" Type="http://schemas.openxmlformats.org/officeDocument/2006/relationships/hyperlink" Id="rId8"/>
    <Relationship TargetMode="External" Target="https://www.legis.iowa.gov/docs/ico/chapter/235A.pdf" Type="http://schemas.openxmlformats.org/officeDocument/2006/relationships/hyperlink" Id="rId9"/>
    <Relationship TargetMode="External" Target="https://www.legis.iowa.gov/docs/ico/chapter/235B.pdf" Type="http://schemas.openxmlformats.org/officeDocument/2006/relationships/hyperlink" Id="rId10"/>
    <Relationship TargetMode="External" Target="https://www.legis.iowa.gov/docs/ico/chapter/256.152.pdf" Type="http://schemas.openxmlformats.org/officeDocument/2006/relationships/hyperlink" Id="rId11"/>
    <Relationship TargetMode="External" Target="https://www.legis.iowa.gov/docs/ico/chapter/272C.12.pdf" Type="http://schemas.openxmlformats.org/officeDocument/2006/relationships/hyperlink" Id="rId12"/>
    <Relationship TargetMode="External" Target="https://www.legis.iowa.gov/docs/ico/chapter/25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