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ISSUANCE OF PROFESSIONAL SERVICE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282—27.1</w:t>
      </w:r>
      <w:r>
        <w:rPr>
          <w:rFonts w:ascii="Times New Roman" w:hAnsi="Times New Roman"/>
          <w:b/>
          <w:i w:val="false"/>
          <w:color w:val="000000"/>
          <w:sz w:val="22"/>
        </w:rPr>
        <w:t xml:space="preserve">(256) </w:t>
      </w:r>
      <w:r>
        <w:rPr>
          <w:rFonts w:ascii="Times New Roman" w:hAnsi="Times New Roman"/>
          <w:b/>
          <w:i w:val="false"/>
          <w:color w:val="000000"/>
          <w:sz w:val="22"/>
        </w:rPr>
        <w:t xml:space="preserve">Professional service license. </w:t>
      </w:r>
      <w:r>
        <w:rPr>
          <w:rFonts w:ascii="Times New Roman" w:hAnsi="Times New Roman"/>
          <w:b w:val="false"/>
          <w:i w:val="false"/>
          <w:color w:val="000000"/>
          <w:sz w:val="22"/>
        </w:rPr>
        <w:t>A professional service license may be issued in the following areas but does not permit service as a teacher: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counselor.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psychologist.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Speech-language pathologist.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Supervisor of special education (support).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Director of special education of an area education agency.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School social worker.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School audiologist.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282—27.2</w:t>
      </w:r>
      <w:r>
        <w:rPr>
          <w:rFonts w:ascii="Times New Roman" w:hAnsi="Times New Roman"/>
          <w:b/>
          <w:i w:val="false"/>
          <w:color w:val="000000"/>
          <w:sz w:val="22"/>
        </w:rPr>
        <w:t xml:space="preserve">(256) </w:t>
      </w:r>
      <w:r>
        <w:rPr>
          <w:rFonts w:ascii="Times New Roman" w:hAnsi="Times New Roman"/>
          <w:b/>
          <w:i w:val="false"/>
          <w:color w:val="000000"/>
          <w:sz w:val="22"/>
        </w:rPr>
        <w:t xml:space="preserve">Requirements for a professional service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color w:val="000000"/>
          <w:sz w:val="22"/>
        </w:rPr>
        <w:t xml:space="preserve">Initial professional service license. </w:t>
      </w:r>
      <w:r>
        <w:rPr>
          <w:rFonts w:ascii="Times New Roman" w:hAnsi="Times New Roman"/>
          <w:b w:val="false"/>
          <w:i w:val="false"/>
          <w:color w:val="000000"/>
          <w:sz w:val="22"/>
        </w:rPr>
        <w:t xml:space="preserve">An initial professional service license valid for a minimum of two years with an expiration date of June 30 may be issued to an applicant for licensure who has a master’s degree in a recognized professional educational service area set forth in rule </w:t>
      </w:r>
      <w:hyperlink r:id="rId5">
        <w:r>
          <w:rPr>
            <w:rStyle w:val="Hyperlink"/>
            <w:rFonts w:ascii="Times New Roman" w:hAnsi="Times New Roman"/>
            <w:b w:val="false"/>
            <w:i w:val="false"/>
            <w:color w:val="000000"/>
            <w:sz w:val="22"/>
          </w:rPr>
          <w:t>282—27.1(256)</w:t>
        </w:r>
      </w:hyperlink>
      <w:r>
        <w:rPr>
          <w:rFonts w:ascii="Times New Roman" w:hAnsi="Times New Roman"/>
          <w:b w:val="false"/>
          <w:i w:val="false"/>
          <w:color w:val="000000"/>
          <w:sz w:val="22"/>
        </w:rPr>
        <w:t xml:space="preserve"> and who has completed a state-approved program for a professional service license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color w:val="000000"/>
          <w:sz w:val="22"/>
        </w:rPr>
        <w:t xml:space="preserve">Standard professional service license. </w:t>
      </w:r>
      <w:r>
        <w:rPr>
          <w:rFonts w:ascii="Times New Roman" w:hAnsi="Times New Roman"/>
          <w:b w:val="false"/>
          <w:i w:val="false"/>
          <w:color w:val="000000"/>
          <w:sz w:val="22"/>
        </w:rPr>
        <w:t xml:space="preserve">A standard professional service license valid for five years may be issued to an applicant who meets the general requirements set forth in this rule and Iowa Code section </w:t>
      </w:r>
      <w:hyperlink r:id="rId6">
        <w:r>
          <w:rPr>
            <w:rStyle w:val="Hyperlink"/>
            <w:rFonts w:ascii="Times New Roman" w:hAnsi="Times New Roman"/>
            <w:b w:val="false"/>
            <w:i w:val="false"/>
            <w:color w:val="000000"/>
            <w:sz w:val="22"/>
          </w:rPr>
          <w:t>256.163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w:t>
      </w:r>
      <w:r>
        <w:rPr>
          <w:rFonts w:ascii="Times New Roman" w:hAnsi="Times New Roman"/>
          <w:b w:val="false"/>
          <w:i w:val="false"/>
          <w:color w:val="000000"/>
          <w:sz w:val="22"/>
        </w:rPr>
        <w:t> </w:t>
      </w:r>
      <w:r>
        <w:rPr>
          <w:rFonts w:ascii="Times New Roman" w:hAnsi="Times New Roman"/>
          <w:b w:val="false"/>
          <w:i/>
          <w:color w:val="000000"/>
          <w:sz w:val="22"/>
        </w:rPr>
        <w:t xml:space="preserve">School counseling Class G license. </w:t>
      </w:r>
      <w:r>
        <w:rPr>
          <w:rFonts w:ascii="Times New Roman" w:hAnsi="Times New Roman"/>
          <w:b w:val="false"/>
          <w:i w:val="false"/>
          <w:color w:val="000000"/>
          <w:sz w:val="22"/>
        </w:rPr>
        <w:t>A nonrenewable Class G license valid for one year may be issued to an individual who is required to complete a school counseling practicum or internship in an approved program in preparation for the professional school counselor endorsement. The Class G license may be issued under the following limited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from the institution that the individual is admitted and enrolled in a school counseling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that the individual has completed at least 75 percent of the coursework and competencies required prior to the practicum or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w:t>
      </w:r>
      <w:r>
        <w:rPr>
          <w:rFonts w:ascii="Times New Roman" w:hAnsi="Times New Roman"/>
          <w:b w:val="false"/>
          <w:i w:val="false"/>
          <w:color w:val="000000"/>
          <w:sz w:val="22"/>
        </w:rPr>
        <w:t> </w:t>
      </w:r>
      <w:r>
        <w:rPr>
          <w:rFonts w:ascii="Times New Roman" w:hAnsi="Times New Roman"/>
          <w:b w:val="false"/>
          <w:i/>
          <w:color w:val="000000"/>
          <w:sz w:val="22"/>
        </w:rPr>
        <w:t xml:space="preserve">School psychologist one-year Class A license. </w:t>
      </w:r>
      <w:r>
        <w:rPr>
          <w:rFonts w:ascii="Times New Roman" w:hAnsi="Times New Roman"/>
          <w:b w:val="false"/>
          <w:i w:val="false"/>
          <w:color w:val="000000"/>
          <w:sz w:val="22"/>
        </w:rPr>
        <w:t>A nonrenewable Class A license valid for one year may be issued to an individual who is required to complete an internship or thesis as an aspect of an approved program in preparation for the school psychologist endorsement. The one-year Class A license may be issued under the following limited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from the institution that the internship or thesis is a requirement for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the employment situation will be satisfactory for the internship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from the institution of the length of the approved and planned internship or the anticipated completion date of the 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of the evaluation processes for successful completion of the internship or 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Verification that the internship or thesis is the only requirement remaining for successful completion of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282—27.3</w:t>
      </w:r>
      <w:r>
        <w:rPr>
          <w:rFonts w:ascii="Times New Roman" w:hAnsi="Times New Roman"/>
          <w:b/>
          <w:i w:val="false"/>
          <w:color w:val="000000"/>
          <w:sz w:val="22"/>
        </w:rPr>
        <w:t xml:space="preserve">(256) </w:t>
      </w:r>
      <w:r>
        <w:rPr>
          <w:rFonts w:ascii="Times New Roman" w:hAnsi="Times New Roman"/>
          <w:b/>
          <w:i w:val="false"/>
          <w:color w:val="000000"/>
          <w:sz w:val="22"/>
        </w:rPr>
        <w:t xml:space="preserve">Specific requirements for professional service license endorsements.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Professional school counselor—K-8 and 5-12.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Master’s degree from an accredited institution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exceptional learner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 xml:space="preserve">Completion of the competencies and coursework set forth in </w:t>
      </w:r>
      <w:hyperlink r:id="rId7">
        <w:r>
          <w:rPr>
            <w:rStyle w:val="Hyperlink"/>
            <w:rFonts w:ascii="Times New Roman" w:hAnsi="Times New Roman"/>
            <w:b w:val="false"/>
            <w:i w:val="false"/>
            <w:color w:val="000000"/>
            <w:sz w:val="22"/>
          </w:rPr>
          <w:t>282—subrule 13.10(24)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School psychologist—birth to age 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An applicant will have completed a program of graduate study that is currently approved (or that was approved at the time of graduation) by the National Association of School Psychologists or the American Psychological Association, or be certified as a Nationally Certified School Psychologist by the National Association of School Psychologists, in preparation for service as a school psychologist through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master’s degree with sufficient graduate semester hours beyond a baccalaureate degree to total 60;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a specialist’s degree of at least 60 graduate semester hours with or without completion of a terminal master’s degree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 doctoral degree program of at least 60 graduate semester hours with or without completion of a terminal master’s degree program or specialist’s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exceptional learner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pathologist—birth to age 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hold a master’s degree in speech 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An applicant will have completed the requirements in speech pathology and in the professional education sequence (i.e., 20 semester hours including student teaching/internship as a school speech-language pathologist). Courses in the following areas may be recognized for fulfilling the 20-hour sequence: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Curriculum courses (e.g., reading, methods, curriculum development).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Foundations (e.g., philosophy of education, foundations of education).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Educational measurements (e.g., school finance, tests and measurements, measures and evaluation of instruction).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Educational psychology (e.g., educational psychology, educational psychology measures, principles of behavior modification).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Courses in special education (e.g., introduction to special education, learning disabilities).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Child development courses (e.g., human growth and development, principles and theories of child development, history and theories of early childhood education).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General education courses (e.g., introduction to psychology, sociology, history, literature, humanities) will not be credited toward fulfillment of the required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completed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completed an approved exceptional learner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meet the requirements in this subrule or the requirements for a statement of professional recognition (SPR) in this area as set forth in </w:t>
      </w:r>
      <w:hyperlink r:id="rId8">
        <w:r>
          <w:rPr>
            <w:rStyle w:val="Hyperlink"/>
            <w:rFonts w:ascii="Times New Roman" w:hAnsi="Times New Roman"/>
            <w:b w:val="false"/>
            <w:i w:val="false"/>
            <w:color w:val="000000"/>
            <w:sz w:val="22"/>
          </w:rPr>
          <w:t>282—Chapter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Professional service administrator. </w:t>
      </w:r>
      <w:r>
        <w:rPr>
          <w:rFonts w:ascii="Times New Roman" w:hAnsi="Times New Roman"/>
          <w:b w:val="false"/>
          <w:i w:val="false"/>
          <w:color w:val="000000"/>
          <w:sz w:val="22"/>
        </w:rPr>
        <w:t>The holder of this endorsement is authorized to serve as a supervisor of special education support programs. However, an individual holding an SPR is not eligible for the professional service administrator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hold a master’s degree in preparation for school psychology, speech/language pathology, audiology (or education of students who are deaf or hard of hearing), or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The program will include a minimum of 16 graduate semester hours to specifically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Consultation process in special or regular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Current issues in special education administration including school law/special education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Program evaluation.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Educational leadership.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Administration and supervision of special education.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Practicum: Special education administration. This requirement may be waived based on two years of experience as a special education administrator.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School personnel administration.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Evaluator approval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four years of support service in a school setting with special education students in the specific discipline area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the practitioner licensure requirements of one of the following endorsements: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audiologist (or deaf or hard of hearing at K-8 and 5-12).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psychologist.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School social worker.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Speech-language pathologist.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w:t>
      </w:r>
      <w:r>
        <w:rPr>
          <w:rFonts w:ascii="Times New Roman" w:hAnsi="Times New Roman"/>
          <w:b w:val="false"/>
          <w:i w:val="false"/>
          <w:color w:val="000000"/>
          <w:sz w:val="22"/>
        </w:rPr>
        <w:t> </w:t>
      </w:r>
      <w:r>
        <w:rPr>
          <w:rFonts w:ascii="Times New Roman" w:hAnsi="Times New Roman"/>
          <w:b w:val="false"/>
          <w:i/>
          <w:color w:val="000000"/>
          <w:sz w:val="22"/>
        </w:rPr>
        <w:t xml:space="preserve">School social worker—birth to age 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requirements. An applicant will hold a master’s degree in social work from an accredited school of social work to include a minimum of 20 semester hours of coursework (including practicum experience) that demonstrates skills, knowledge, and competencies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work.</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(e.g., social, emotional, behavioral, and familial).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Intervention (e.g., individual, group, and family counseling).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Related studies (e.g., community resource coordination, multidiscipline teaming, organizational behavior,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education (e.g., school law, foundations of education, methods, psychoeducational measurement, behavior management, child development).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Special education (e.g., exceptional children, psychoeducational measurement, behavior management, special education regulations, counseling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Practicum experience. A practicum experience in a school setting under the supervision of an experienced school social work practitioner is required. The practicum will include experiences that lead to the development of professional identity and the disciplined use of self. These experiences will include assessment, direct services to children and families, consultation, staffing, community liaison and documentation. If a person has served two years as a school social worker, the practicum experience can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exceptional learner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meet the requirements in this subrule or the requirements for an SPR in this area as set forth in </w:t>
      </w:r>
      <w:hyperlink r:id="rId9">
        <w:r>
          <w:rPr>
            <w:rStyle w:val="Hyperlink"/>
            <w:rFonts w:ascii="Times New Roman" w:hAnsi="Times New Roman"/>
            <w:b w:val="false"/>
            <w:i w:val="false"/>
            <w:color w:val="000000"/>
            <w:sz w:val="22"/>
          </w:rPr>
          <w:t>282—Chapter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w:t>
      </w:r>
      <w:r>
        <w:rPr>
          <w:rFonts w:ascii="Times New Roman" w:hAnsi="Times New Roman"/>
          <w:b w:val="false"/>
          <w:i w:val="false"/>
          <w:color w:val="000000"/>
          <w:sz w:val="22"/>
        </w:rPr>
        <w:t> </w:t>
      </w:r>
      <w:r>
        <w:rPr>
          <w:rFonts w:ascii="Times New Roman" w:hAnsi="Times New Roman"/>
          <w:b w:val="false"/>
          <w:i/>
          <w:color w:val="000000"/>
          <w:sz w:val="22"/>
        </w:rPr>
        <w:t xml:space="preserve">School audiologist—birth to age 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hold a master’s degree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An applicant will complete the requirements in audiology and in the professional education sequence (i.e., 20 semester hours including student teaching/internship as a school audiologist). Courses in the following areas may be recognized for fulfilling the 20-hour sequence: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Curriculum courses (e.g., reading, methods, curriculum development).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Foundations (e.g., philosophy of education, foundations of education).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Educational measurements (e.g., school finance, tests and measurements, measures and evaluation of instruction).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Educational psychology (e.g., educational psychology, educational psychology measures, principles of behavior modification).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Courses in special education (e.g., introduction to special education, learning disabilities).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Child development courses (e.g., human growth and development, principles and theories of child development, history of early childhood education).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General education courses (e.g., introduction to psychology, sociology, history, literature, humanities) will not be credited toward fulfillment of the required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completed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completed an approved exceptional learner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meet the requirements in this subrule or the requirements for an SPR in this area as set forth in </w:t>
      </w:r>
      <w:hyperlink r:id="rId10">
        <w:r>
          <w:rPr>
            <w:rStyle w:val="Hyperlink"/>
            <w:rFonts w:ascii="Times New Roman" w:hAnsi="Times New Roman"/>
            <w:b w:val="false"/>
            <w:i w:val="false"/>
            <w:color w:val="000000"/>
            <w:sz w:val="22"/>
          </w:rPr>
          <w:t>282—Chapter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7980B</w:t>
      </w:r>
      <w:r>
        <w:rPr>
          <w:rFonts w:ascii="Times New Roman" w:hAnsi="Times New Roman"/>
          <w:b w:val="false"/>
          <w:i w:val="false"/>
          <w:color w:val="000000"/>
          <w:sz w:val="21"/>
        </w:rPr>
        <w:t xml:space="preserve"> (Notice ARC 7743B,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8609B</w:t>
      </w:r>
      <w:r>
        <w:rPr>
          <w:rFonts w:ascii="Times New Roman" w:hAnsi="Times New Roman"/>
          <w:b w:val="false"/>
          <w:i w:val="false"/>
          <w:color w:val="000000"/>
          <w:sz w:val="21"/>
        </w:rPr>
        <w:t xml:space="preserve"> (Notice ARC 8410B,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8959B</w:t>
      </w:r>
      <w:r>
        <w:rPr>
          <w:rFonts w:ascii="Times New Roman" w:hAnsi="Times New Roman"/>
          <w:b w:val="false"/>
          <w:i w:val="false"/>
          <w:color w:val="000000"/>
          <w:sz w:val="21"/>
        </w:rPr>
        <w:t xml:space="preserve"> (Notice ARC 8689B, IAB 4/7/10)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9074B</w:t>
      </w:r>
      <w:r>
        <w:rPr>
          <w:rFonts w:ascii="Times New Roman" w:hAnsi="Times New Roman"/>
          <w:b w:val="false"/>
          <w:i w:val="false"/>
          <w:color w:val="000000"/>
          <w:sz w:val="21"/>
        </w:rPr>
        <w:t xml:space="preserve"> (Notice ARC 8829B, IAB 6/2/10)</w:t>
      </w:r>
      <w:r>
        <w:rPr>
          <w:rFonts w:ascii="Times New Roman" w:hAnsi="Times New Roman"/>
          <w:b w:val="false"/>
          <w:i w:val="false"/>
          <w:color w:val="000000"/>
          <w:sz w:val="21"/>
        </w:rPr>
        <w:t>, IAB 9/8/10, effective 10/13/10]</w:t>
      </w:r>
      <w:r>
        <w:br/>
      </w:r>
      <w:r>
        <w:rPr>
          <w:rFonts w:ascii="Times New Roman" w:hAnsi="Times New Roman"/>
          <w:b w:val="false"/>
          <w:i w:val="false"/>
          <w:color w:val="000000"/>
          <w:sz w:val="21"/>
        </w:rPr>
        <w:t>[Filed ARC 9076B</w:t>
      </w:r>
      <w:r>
        <w:rPr>
          <w:rFonts w:ascii="Times New Roman" w:hAnsi="Times New Roman"/>
          <w:b w:val="false"/>
          <w:i w:val="false"/>
          <w:color w:val="000000"/>
          <w:sz w:val="21"/>
        </w:rPr>
        <w:t xml:space="preserve"> (Notice ARC 8831B, IAB 6/2/10)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9452B</w:t>
      </w:r>
      <w:r>
        <w:rPr>
          <w:rFonts w:ascii="Times New Roman" w:hAnsi="Times New Roman"/>
          <w:b w:val="false"/>
          <w:i w:val="false"/>
          <w:color w:val="000000"/>
          <w:sz w:val="21"/>
        </w:rPr>
        <w:t xml:space="preserve"> (Notice ARC 9301B,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1328C</w:t>
      </w:r>
      <w:r>
        <w:rPr>
          <w:rFonts w:ascii="Times New Roman" w:hAnsi="Times New Roman"/>
          <w:b w:val="false"/>
          <w:i w:val="false"/>
          <w:color w:val="000000"/>
          <w:sz w:val="21"/>
        </w:rPr>
        <w:t xml:space="preserve"> (Notice ARC 1236C, IAB 12/11/13)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2016C</w:t>
      </w:r>
      <w:r>
        <w:rPr>
          <w:rFonts w:ascii="Times New Roman" w:hAnsi="Times New Roman"/>
          <w:b w:val="false"/>
          <w:i w:val="false"/>
          <w:color w:val="000000"/>
          <w:sz w:val="21"/>
        </w:rPr>
        <w:t xml:space="preserve"> (Notice ARC 1918C,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2397C</w:t>
      </w:r>
      <w:r>
        <w:rPr>
          <w:rFonts w:ascii="Times New Roman" w:hAnsi="Times New Roman"/>
          <w:b w:val="false"/>
          <w:i w:val="false"/>
          <w:color w:val="000000"/>
          <w:sz w:val="21"/>
        </w:rPr>
        <w:t xml:space="preserve"> (Notice ARC 2237C, IAB 11/11/15)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3633C</w:t>
      </w:r>
      <w:r>
        <w:rPr>
          <w:rFonts w:ascii="Times New Roman" w:hAnsi="Times New Roman"/>
          <w:b w:val="false"/>
          <w:i w:val="false"/>
          <w:color w:val="000000"/>
          <w:sz w:val="21"/>
        </w:rPr>
        <w:t xml:space="preserve"> (Notice ARC 3471C, IAB 12/6/17)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3829C</w:t>
      </w:r>
      <w:r>
        <w:rPr>
          <w:rFonts w:ascii="Times New Roman" w:hAnsi="Times New Roman"/>
          <w:b w:val="false"/>
          <w:i w:val="false"/>
          <w:color w:val="000000"/>
          <w:sz w:val="21"/>
        </w:rPr>
        <w:t xml:space="preserve"> (Notice ARC 3710C,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3979C</w:t>
      </w:r>
      <w:r>
        <w:rPr>
          <w:rFonts w:ascii="Times New Roman" w:hAnsi="Times New Roman"/>
          <w:b w:val="false"/>
          <w:i w:val="false"/>
          <w:color w:val="000000"/>
          <w:sz w:val="21"/>
        </w:rPr>
        <w:t xml:space="preserve"> (Notice ARC 3827C,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[Notice ARC 5212C, IAB 10/7/20, effective ]</w:t>
      </w:r>
      <w:r>
        <w:rPr>
          <w:rFonts w:ascii="Times New Roman" w:hAnsi="Times New Roman"/>
          <w:b w:val="false"/>
          <w:i w:val="false"/>
          <w:color w:val="000000"/>
          <w:sz w:val="21"/>
        </w:rPr>
        <w:t>[Notice ARC 5216C, IAB 10/7/20, effective ]</w:t>
      </w:r>
      <w:r>
        <w:rPr>
          <w:rFonts w:ascii="Times New Roman" w:hAnsi="Times New Roman"/>
          <w:b w:val="false"/>
          <w:i w:val="false"/>
          <w:color w:val="000000"/>
          <w:sz w:val="21"/>
        </w:rPr>
        <w:t>[Filed ARC 5321C, IAB 12/16/20, effective 1/20/21]</w:t>
      </w:r>
      <w:r>
        <w:br/>
      </w:r>
      <w:r>
        <w:rPr>
          <w:rFonts w:ascii="Times New Roman" w:hAnsi="Times New Roman"/>
          <w:b w:val="false"/>
          <w:i w:val="false"/>
          <w:color w:val="000000"/>
          <w:sz w:val="21"/>
        </w:rPr>
        <w:t>[Filed ARC 5322C, IAB 12/16/20, effective 1/20/21]</w:t>
      </w:r>
    </w:p>
    <w:p>
      <w:pPr>
        <w:spacing w:before="0" w:after="0"/>
        <w:ind w:left="120"/>
        <w:jc w:val="center"/>
      </w:pPr>
      <w:r>
        <w:rPr>
          <w:rFonts w:ascii="Times New Roman" w:hAnsi="Times New Roman"/>
          <w:b w:val="false"/>
          <w:i w:val="false"/>
          <w:color w:val="000000"/>
          <w:sz w:val="21"/>
        </w:rPr>
        <w:t>[Filed ARC 5802C</w:t>
      </w:r>
      <w:r>
        <w:rPr>
          <w:rFonts w:ascii="Times New Roman" w:hAnsi="Times New Roman"/>
          <w:b w:val="false"/>
          <w:i w:val="false"/>
          <w:color w:val="000000"/>
          <w:sz w:val="21"/>
        </w:rPr>
        <w:t xml:space="preserve"> (Notice ARC 5666C, IAB 6/2/21)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6127C</w:t>
      </w:r>
      <w:r>
        <w:rPr>
          <w:rFonts w:ascii="Times New Roman" w:hAnsi="Times New Roman"/>
          <w:b w:val="false"/>
          <w:i w:val="false"/>
          <w:color w:val="000000"/>
          <w:sz w:val="21"/>
        </w:rPr>
        <w:t xml:space="preserve"> (Notice ARC 5935C,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6867C</w:t>
      </w:r>
      <w:r>
        <w:rPr>
          <w:rFonts w:ascii="Times New Roman" w:hAnsi="Times New Roman"/>
          <w:b w:val="false"/>
          <w:i w:val="false"/>
          <w:color w:val="000000"/>
          <w:sz w:val="21"/>
        </w:rPr>
        <w:t xml:space="preserve"> (Notice ARC 6680C, IAB 11/16/22)</w:t>
      </w:r>
      <w:r>
        <w:rPr>
          <w:rFonts w:ascii="Times New Roman" w:hAnsi="Times New Roman"/>
          <w:b w:val="false"/>
          <w:i w:val="false"/>
          <w:color w:val="000000"/>
          <w:sz w:val="21"/>
        </w:rPr>
        <w:t>, IAB 2/8/23, effective 3/15/23]</w:t>
      </w:r>
      <w:r>
        <w:br/>
      </w:r>
      <w:r>
        <w:rPr>
          <w:rFonts w:ascii="Times New Roman" w:hAnsi="Times New Roman"/>
          <w:b w:val="false"/>
          <w:i w:val="false"/>
          <w:color w:val="000000"/>
          <w:sz w:val="21"/>
        </w:rPr>
        <w:t>[Filed ARC 6870C</w:t>
      </w:r>
      <w:r>
        <w:rPr>
          <w:rFonts w:ascii="Times New Roman" w:hAnsi="Times New Roman"/>
          <w:b w:val="false"/>
          <w:i w:val="false"/>
          <w:color w:val="000000"/>
          <w:sz w:val="21"/>
        </w:rPr>
        <w:t xml:space="preserve"> (Notice ARC 6677C,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8825C</w:t>
      </w:r>
      <w:r>
        <w:rPr>
          <w:rFonts w:ascii="Times New Roman" w:hAnsi="Times New Roman"/>
          <w:b w:val="false"/>
          <w:i w:val="false"/>
          <w:color w:val="000000"/>
          <w:sz w:val="21"/>
        </w:rPr>
        <w:t xml:space="preserve"> (Notice ARC 8306C,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2.27.1.pdf" Type="http://schemas.openxmlformats.org/officeDocument/2006/relationships/hyperlink" Id="rId5"/>
    <Relationship TargetMode="External" Target="https://www.legis.iowa.gov/docs/ico/chapter/256.163.pdf" Type="http://schemas.openxmlformats.org/officeDocument/2006/relationships/hyperlink" Id="rId6"/>
    <Relationship TargetMode="External" Target="https://www.legis.iowa.gov/docs/iac/rule/282.13.10.pdf" Type="http://schemas.openxmlformats.org/officeDocument/2006/relationships/hyperlink" Id="rId7"/>
    <Relationship TargetMode="External" Target="https://www.legis.iowa.gov/docs/iac/chapter/282.16.pdf" Type="http://schemas.openxmlformats.org/officeDocument/2006/relationships/hyperlink" Id="rId8"/>
    <Relationship TargetMode="External" Target="https://www.legis.iowa.gov/docs/iac/chapter/282.16.pdf" Type="http://schemas.openxmlformats.org/officeDocument/2006/relationships/hyperlink" Id="rId9"/>
    <Relationship TargetMode="External" Target="https://www.legis.iowa.gov/docs/iac/chapter/282.16.pdf" Type="http://schemas.openxmlformats.org/officeDocument/2006/relationships/hyperlink" Id="rId10"/>
    <Relationship TargetMode="External" Target="https://www.legis.iowa.gov/docs/ico/chapter/25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