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CODE OF PROFESSIONAL CONDUCT AND ETHICS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282—25.1</w:t>
      </w:r>
      <w:r>
        <w:rPr>
          <w:rFonts w:ascii="Times New Roman" w:hAnsi="Times New Roman"/>
          <w:b/>
          <w:i w:val="false"/>
          <w:color w:val="000000"/>
          <w:sz w:val="22"/>
        </w:rPr>
        <w:t xml:space="preserve">(256) </w:t>
      </w:r>
      <w:r>
        <w:rPr>
          <w:rFonts w:ascii="Times New Roman" w:hAnsi="Times New Roman"/>
          <w:b/>
          <w:i w:val="false"/>
          <w:color w:val="000000"/>
          <w:sz w:val="22"/>
        </w:rPr>
        <w:t xml:space="preserve">Scope of standards. </w:t>
      </w:r>
      <w:r>
        <w:rPr>
          <w:rFonts w:ascii="Times New Roman" w:hAnsi="Times New Roman"/>
          <w:b w:val="false"/>
          <w:i w:val="false"/>
          <w:color w:val="000000"/>
          <w:sz w:val="22"/>
        </w:rPr>
        <w:t xml:space="preserve">This code of professional conduct and ethics constitutes mandatory minimum standards of practice for all licensed practitioners as defined in Iowa Code chapter </w:t>
      </w:r>
      <w:hyperlink r:id="rId5">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The adherence to certain professional and ethical standards is essential to maintaining the integrity of the education profession.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282—25.2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and supervisory personnel” </w:t>
      </w:r>
      <w:r>
        <w:rPr>
          <w:rFonts w:ascii="Times New Roman" w:hAnsi="Times New Roman"/>
          <w:b w:val="false"/>
          <w:i w:val="false"/>
          <w:color w:val="000000"/>
          <w:sz w:val="22"/>
        </w:rPr>
        <w:t>means any licensed employee such as a superintendent, associate superintendent, assistant superintendent, principal, associate principal, assistant principal, or other person who does not have as a primary duty the instruction of pupils in the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means the process of sanctioning a license, certificate, or authorization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“Ethics” </w:t>
      </w:r>
      <w:r>
        <w:rPr>
          <w:rFonts w:ascii="Times New Roman" w:hAnsi="Times New Roman"/>
          <w:b w:val="false"/>
          <w:i w:val="false"/>
          <w:color w:val="000000"/>
          <w:sz w:val="22"/>
        </w:rPr>
        <w:t>means a set of principles governing the conduct of all persons governed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“Fraud” </w:t>
      </w:r>
      <w:r>
        <w:rPr>
          <w:rFonts w:ascii="Times New Roman" w:hAnsi="Times New Roman"/>
          <w:b w:val="false"/>
          <w:i w:val="false"/>
          <w:color w:val="000000"/>
          <w:sz w:val="22"/>
        </w:rPr>
        <w:t>means knowingly providing false information or representations on an application for licensure or employment, or knowingly providing false information or representations made in connection with the discharge of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any license, certificate, or authorization granted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holding a license, certificate, or authorization granted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“Practitioner” </w:t>
      </w:r>
      <w:r>
        <w:rPr>
          <w:rFonts w:ascii="Times New Roman" w:hAnsi="Times New Roman"/>
          <w:b w:val="false"/>
          <w:i w:val="false"/>
          <w:color w:val="000000"/>
          <w:sz w:val="22"/>
        </w:rPr>
        <w:t>means an administrator, teacher, or other licensed professional, including an individual who holds a statement of professional recognition, who provides educational assistance to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“Responsibility” </w:t>
      </w:r>
      <w:r>
        <w:rPr>
          <w:rFonts w:ascii="Times New Roman" w:hAnsi="Times New Roman"/>
          <w:b w:val="false"/>
          <w:i w:val="false"/>
          <w:color w:val="000000"/>
          <w:sz w:val="22"/>
        </w:rPr>
        <w:t>means a duty for which a person is accountable by virtue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“Right” </w:t>
      </w:r>
      <w:r>
        <w:rPr>
          <w:rFonts w:ascii="Times New Roman" w:hAnsi="Times New Roman"/>
          <w:b w:val="false"/>
          <w:i w:val="false"/>
          <w:color w:val="000000"/>
          <w:sz w:val="22"/>
        </w:rPr>
        <w:t>means a power, privilege, or immunity secured to a person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means a person, regardless of age, enrolled in a prekindergarten through grade 12 school who is receiving direct or indirect assistance from a person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“Teacher” </w:t>
      </w:r>
      <w:r>
        <w:rPr>
          <w:rFonts w:ascii="Times New Roman" w:hAnsi="Times New Roman"/>
          <w:b w:val="false"/>
          <w:i w:val="false"/>
          <w:color w:val="000000"/>
          <w:sz w:val="22"/>
        </w:rPr>
        <w:t>means any person engaged in the instructional program for prekindergarten through grade 12 children, including a person engaged in teaching, administration, and supervision, and who is required by law to be licensed for the position held.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282—25.3</w:t>
      </w:r>
      <w:r>
        <w:rPr>
          <w:rFonts w:ascii="Times New Roman" w:hAnsi="Times New Roman"/>
          <w:b/>
          <w:i w:val="false"/>
          <w:color w:val="000000"/>
          <w:sz w:val="22"/>
        </w:rPr>
        <w:t xml:space="preserve">(256) </w:t>
      </w:r>
      <w:r>
        <w:rPr>
          <w:rFonts w:ascii="Times New Roman" w:hAnsi="Times New Roman"/>
          <w:b/>
          <w:i w:val="false"/>
          <w:color w:val="000000"/>
          <w:sz w:val="22"/>
        </w:rPr>
        <w:t xml:space="preserve">Standards of professional conduct and ethics. </w:t>
      </w:r>
      <w:r>
        <w:rPr>
          <w:rFonts w:ascii="Times New Roman" w:hAnsi="Times New Roman"/>
          <w:b w:val="false"/>
          <w:i w:val="false"/>
          <w:color w:val="000000"/>
          <w:sz w:val="22"/>
        </w:rPr>
        <w:t>Licensees are required to abide by all federal, state, and local laws applicable to the fulfillment of professional obligations. Violation of federal, state, or local laws in the fulfillment of professional obligations constitutes unprofessional and unethical conduct that can result in disciplinary action by the board. In addition, it is hereby deemed unprofessional and unethical for any licensee to violate any of the following standards of professional conduct and ethics: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color w:val="000000"/>
          <w:sz w:val="22"/>
        </w:rPr>
        <w:t xml:space="preserve">Standard I—conviction of crimes, sexual or other immoral conduct with or toward a student, and child and dependent adult abuse. </w:t>
      </w:r>
      <w:r>
        <w:rPr>
          <w:rFonts w:ascii="Times New Roman" w:hAnsi="Times New Roman"/>
          <w:b w:val="false"/>
          <w:i w:val="false"/>
          <w:color w:val="000000"/>
          <w:sz w:val="22"/>
        </w:rPr>
        <w:t>Violation of this standard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Fraud. </w:t>
      </w:r>
      <w:r>
        <w:rPr>
          <w:rFonts w:ascii="Times New Roman" w:hAnsi="Times New Roman"/>
          <w:b w:val="false"/>
          <w:i w:val="false"/>
          <w:color w:val="000000"/>
          <w:sz w:val="22"/>
        </w:rPr>
        <w:t xml:space="preserve">Fraud means the same as defined in rule </w:t>
      </w:r>
      <w:hyperlink r:id="rId6">
        <w:r>
          <w:rPr>
            <w:rStyle w:val="Hyperlink"/>
            <w:rFonts w:ascii="Times New Roman" w:hAnsi="Times New Roman"/>
            <w:b w:val="false"/>
            <w:i w:val="false"/>
            <w:color w:val="000000"/>
            <w:sz w:val="22"/>
          </w:rPr>
          <w:t>282—25.2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Criminal convictions. </w:t>
      </w:r>
      <w:r>
        <w:rPr>
          <w:rFonts w:ascii="Times New Roman" w:hAnsi="Times New Roman"/>
          <w:b w:val="false"/>
          <w:i w:val="false"/>
          <w:color w:val="000000"/>
          <w:sz w:val="22"/>
        </w:rPr>
        <w:t>Criminal convictions include the commission of or conviction for a criminal offense as defined by Iowa law, provided that the offense is relevant to or affects teaching or administrative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Disqualifying criminal convictions. The board will deny an application for licensure and will revoke a previously issued license if the applicant or licensee has, on or after July 1, 2002, been convicted of, pled guilty to, or been found guilty of the following criminal offenses, regardless of whether the judgment of conviction or sentence was deferred: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Any of the following forcible felonies included in Iowa Code section </w:t>
      </w:r>
      <w:hyperlink r:id="rId7">
        <w:r>
          <w:rPr>
            <w:rStyle w:val="Hyperlink"/>
            <w:rFonts w:ascii="Times New Roman" w:hAnsi="Times New Roman"/>
            <w:b w:val="false"/>
            <w:i w:val="false"/>
            <w:color w:val="000000"/>
            <w:sz w:val="22"/>
          </w:rPr>
          <w:t>702.11</w:t>
        </w:r>
      </w:hyperlink>
      <w:r>
        <w:rPr>
          <w:rFonts w:ascii="Times New Roman" w:hAnsi="Times New Roman"/>
          <w:b w:val="false"/>
          <w:i w:val="false"/>
          <w:color w:val="000000"/>
          <w:sz w:val="22"/>
        </w:rPr>
        <w:t>: child endangerment, assault, murder, sexual abuse, or kidnapping;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of the following criminal sexual offenses, as provided in Iowa Code chapter </w:t>
      </w:r>
      <w:hyperlink r:id="rId8">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involving a child: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First-, second- or third-degree sexual abuse committed on or with a person who is under the age of 18;</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Lascivious acts with a child;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Assault with intent to commit sexual abuse;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Indecent contact with a child;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Sexual exploitation by a counselor;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Lascivious conduct with a minor;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Sexual exploitation by a school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Enticing a minor under Iowa Code section </w:t>
      </w:r>
      <w:hyperlink r:id="rId9">
        <w:r>
          <w:rPr>
            <w:rStyle w:val="Hyperlink"/>
            <w:rFonts w:ascii="Times New Roman" w:hAnsi="Times New Roman"/>
            <w:b w:val="false"/>
            <w:i w:val="false"/>
            <w:color w:val="000000"/>
            <w:sz w:val="22"/>
          </w:rPr>
          <w:t>710.10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Human trafficking under Iowa Code section </w:t>
      </w:r>
      <w:hyperlink r:id="rId10">
        <w:r>
          <w:rPr>
            <w:rStyle w:val="Hyperlink"/>
            <w:rFonts w:ascii="Times New Roman" w:hAnsi="Times New Roman"/>
            <w:b w:val="false"/>
            <w:i w:val="false"/>
            <w:color w:val="000000"/>
            <w:sz w:val="22"/>
          </w:rPr>
          <w:t>710A.2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Incest involving a child as prohibited by Iowa Code section </w:t>
      </w:r>
      <w:hyperlink r:id="rId11">
        <w:r>
          <w:rPr>
            <w:rStyle w:val="Hyperlink"/>
            <w:rFonts w:ascii="Times New Roman" w:hAnsi="Times New Roman"/>
            <w:b w:val="false"/>
            <w:i w:val="false"/>
            <w:color w:val="000000"/>
            <w:sz w:val="22"/>
          </w:rPr>
          <w:t>726.2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Dissemination and exhibition of obscene material to minors as prohibited by Iowa Code section </w:t>
      </w:r>
      <w:hyperlink r:id="rId12">
        <w:r>
          <w:rPr>
            <w:rStyle w:val="Hyperlink"/>
            <w:rFonts w:ascii="Times New Roman" w:hAnsi="Times New Roman"/>
            <w:b w:val="false"/>
            <w:i w:val="false"/>
            <w:color w:val="000000"/>
            <w:sz w:val="22"/>
          </w:rPr>
          <w:t>728.2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Telephone dissemination of obscene material to minors as prohibited by Iowa Code section </w:t>
      </w:r>
      <w:hyperlink r:id="rId13">
        <w:r>
          <w:rPr>
            <w:rStyle w:val="Hyperlink"/>
            <w:rFonts w:ascii="Times New Roman" w:hAnsi="Times New Roman"/>
            <w:b w:val="false"/>
            <w:i w:val="false"/>
            <w:color w:val="000000"/>
            <w:sz w:val="22"/>
          </w:rPr>
          <w:t>728.15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Any offense specified in the laws of another jurisdiction, or any offense that may be prosecuted in a federal, military, or foreign court, that is comparable to an offense listed in subparagraph </w:t>
      </w:r>
      <w:r>
        <w:rPr>
          <w:rFonts w:ascii="Times New Roman" w:hAnsi="Times New Roman"/>
          <w:b w:val="false"/>
          <w:i w:val="false"/>
          <w:color w:val="000000"/>
          <w:sz w:val="22"/>
        </w:rPr>
        <w:t>25.3(1)</w:t>
      </w:r>
      <w:r>
        <w:rPr>
          <w:rFonts w:ascii="Times New Roman" w:hAnsi="Times New Roman"/>
          <w:b w:val="false"/>
          <w:i/>
          <w:color w:val="000000"/>
          <w:sz w:val="22"/>
        </w:rPr>
        <w:t>“b”</w:t>
      </w:r>
      <w:r>
        <w:rPr>
          <w:rFonts w:ascii="Times New Roman" w:hAnsi="Times New Roman"/>
          <w:b w:val="false"/>
          <w:i w:val="false"/>
          <w:color w:val="000000"/>
          <w:sz w:val="22"/>
        </w:rPr>
        <w:t>(1);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Any offense under prior laws of this state or another jurisdiction, or any offense under prior law that was prosecuted in a federal, military, or foreign court, that is comparable to an offense listed in subparagraph </w:t>
      </w:r>
      <w:r>
        <w:rPr>
          <w:rFonts w:ascii="Times New Roman" w:hAnsi="Times New Roman"/>
          <w:b w:val="false"/>
          <w:i w:val="false"/>
          <w:color w:val="000000"/>
          <w:sz w:val="22"/>
        </w:rPr>
        <w:t>25.3(1)</w:t>
      </w:r>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criminal convictions and founded child abuse. In determining whether a person should be denied a license or whether a licensee should be disciplined based upon any other criminal conviction, including a conviction for an offense listed in subparagraph </w:t>
      </w:r>
      <w:r>
        <w:rPr>
          <w:rFonts w:ascii="Times New Roman" w:hAnsi="Times New Roman"/>
          <w:b w:val="false"/>
          <w:i w:val="false"/>
          <w:color w:val="000000"/>
          <w:sz w:val="22"/>
        </w:rPr>
        <w:t>25.3(1)</w:t>
      </w:r>
      <w:r>
        <w:rPr>
          <w:rFonts w:ascii="Times New Roman" w:hAnsi="Times New Roman"/>
          <w:b w:val="false"/>
          <w:i/>
          <w:color w:val="000000"/>
          <w:sz w:val="22"/>
        </w:rPr>
        <w:t>“b”</w:t>
      </w:r>
      <w:r>
        <w:rPr>
          <w:rFonts w:ascii="Times New Roman" w:hAnsi="Times New Roman"/>
          <w:b w:val="false"/>
          <w:i w:val="false"/>
          <w:color w:val="000000"/>
          <w:sz w:val="22"/>
        </w:rPr>
        <w:t>(1) that occurred before July 1, 2002, or a founded report of abuse of a child, the board will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and seriousness of the crime or founded abuse in relation to the position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elapsed since the crime or founded abuse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degree of rehabilitation that has taken place since the crime or founded abuse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likelihood that the person will commit the same crime or abuse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criminal convictions or founded abuses committed;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Such additional factors as may in a particular case demonstrate mitigating circumstances or heightened risk to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Sexual involvement or indecent contact with a student. </w:t>
      </w:r>
      <w:r>
        <w:rPr>
          <w:rFonts w:ascii="Times New Roman" w:hAnsi="Times New Roman"/>
          <w:b w:val="false"/>
          <w:i w:val="false"/>
          <w:color w:val="000000"/>
          <w:sz w:val="22"/>
        </w:rPr>
        <w:t xml:space="preserve">Sexual involvement includes but is not limited to the following acts, whether consensual or nonconsensual: fondling or touching the inner thigh, groin, buttocks, anus or breasts of a student; permitting or causing to fondle or touch the practitioner’s inner thigh, groin, buttocks, anus, or breasts; or the commission of any sex act as defined in Iowa Code section </w:t>
      </w:r>
      <w:hyperlink r:id="rId14">
        <w:r>
          <w:rPr>
            <w:rStyle w:val="Hyperlink"/>
            <w:rFonts w:ascii="Times New Roman" w:hAnsi="Times New Roman"/>
            <w:b w:val="false"/>
            <w:i w:val="false"/>
            <w:color w:val="000000"/>
            <w:sz w:val="22"/>
          </w:rPr>
          <w:t>702.17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Sexual exploitation of a minor. </w:t>
      </w:r>
      <w:r>
        <w:rPr>
          <w:rFonts w:ascii="Times New Roman" w:hAnsi="Times New Roman"/>
          <w:b w:val="false"/>
          <w:i w:val="false"/>
          <w:color w:val="000000"/>
          <w:sz w:val="22"/>
        </w:rPr>
        <w:t xml:space="preserve">Sexual exploitation includes the commission of or any conviction for an offense prohibited by Iowa Code section </w:t>
      </w:r>
      <w:hyperlink r:id="rId15">
        <w:r>
          <w:rPr>
            <w:rStyle w:val="Hyperlink"/>
            <w:rFonts w:ascii="Times New Roman" w:hAnsi="Times New Roman"/>
            <w:b w:val="false"/>
            <w:i w:val="false"/>
            <w:color w:val="000000"/>
            <w:sz w:val="22"/>
          </w:rPr>
          <w:t>728.12</w:t>
        </w:r>
      </w:hyperlink>
      <w:r>
        <w:rPr>
          <w:rFonts w:ascii="Times New Roman" w:hAnsi="Times New Roman"/>
          <w:b w:val="false"/>
          <w:i w:val="false"/>
          <w:color w:val="000000"/>
          <w:sz w:val="22"/>
        </w:rPr>
        <w:t xml:space="preserve">, Iowa Code chapter </w:t>
      </w:r>
      <w:hyperlink r:id="rId16">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or 18 U.S.C. §2252A(a)(5)(B)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Student abuse. </w:t>
      </w:r>
      <w:r>
        <w:rPr>
          <w:rFonts w:ascii="Times New Roman" w:hAnsi="Times New Roman"/>
          <w:b w:val="false"/>
          <w:i w:val="false"/>
          <w:color w:val="000000"/>
          <w:sz w:val="22"/>
        </w:rPr>
        <w:t>Licensees will maintain professional relationships with all students, both inside and outside the classroom. The following acts or behavior constitute unethical conduct without regard to the existence of a criminal charge or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Committing any act of physical abuse of a student;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Committing any act of dependent adult abuse on a dependent adult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Committing or soliciting any sexual or otherwise indecent act with a student or any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Soliciting, encouraging, or consummating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sexual or physical relationship with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Grooming behavior toward a student;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otherwise inappropriate relationship with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Furnishing alcohol or illegal or unauthorized drugs or drug paraphernalia to any student or knowingly allowing a student to consume alcohol or illegal or unauthorized drugs in the presence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Failing to report any suspected act of child or dependent adult abuse as required by state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Committing or soliciting any sexual conduct as described in Iowa Code section </w:t>
      </w:r>
      <w:hyperlink r:id="rId17">
        <w:r>
          <w:rPr>
            <w:rStyle w:val="Hyperlink"/>
            <w:rFonts w:ascii="Times New Roman" w:hAnsi="Times New Roman"/>
            <w:b w:val="false"/>
            <w:i w:val="false"/>
            <w:color w:val="000000"/>
            <w:sz w:val="22"/>
          </w:rPr>
          <w:t>709.15(3)</w:t>
        </w:r>
      </w:hyperlink>
      <w:r>
        <w:rPr>
          <w:rFonts w:ascii="Times New Roman" w:hAnsi="Times New Roman"/>
          <w:b w:val="false"/>
          <w:i w:val="false"/>
          <w:color w:val="000000"/>
          <w:sz w:val="22"/>
        </w:rPr>
        <w:t xml:space="preserve"> or acts or behavior listed in subparagraph </w:t>
      </w:r>
      <w:r>
        <w:rPr>
          <w:rFonts w:ascii="Times New Roman" w:hAnsi="Times New Roman"/>
          <w:b w:val="false"/>
          <w:i w:val="false"/>
          <w:color w:val="000000"/>
          <w:sz w:val="22"/>
        </w:rPr>
        <w:t>25.3(1)</w:t>
      </w:r>
      <w:r>
        <w:rPr>
          <w:rFonts w:ascii="Times New Roman" w:hAnsi="Times New Roman"/>
          <w:b w:val="false"/>
          <w:i/>
          <w:color w:val="000000"/>
          <w:sz w:val="22"/>
        </w:rPr>
        <w:t>“e”</w:t>
      </w:r>
      <w:r>
        <w:rPr>
          <w:rFonts w:ascii="Times New Roman" w:hAnsi="Times New Roman"/>
          <w:b w:val="false"/>
          <w:i w:val="false"/>
          <w:color w:val="000000"/>
          <w:sz w:val="22"/>
        </w:rPr>
        <w:t>(4) toward any person who was a student within 90 days prior to any conduct alleged in the complaint, if that person was taught by the practitioner or was supervised by the practitioner in any school activity when that person was a student.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color w:val="000000"/>
          <w:sz w:val="22"/>
        </w:rPr>
        <w:t xml:space="preserve">Standard II—alcohol or drug abuse. </w:t>
      </w:r>
      <w:r>
        <w:rPr>
          <w:rFonts w:ascii="Times New Roman" w:hAnsi="Times New Roman"/>
          <w:b w:val="false"/>
          <w:i w:val="false"/>
          <w:color w:val="000000"/>
          <w:sz w:val="22"/>
        </w:rPr>
        <w:t>Violation of this standard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Being on school premises or at a school-sponsored activity involving students while under the influence of, possessing, using, or consuming illegal or unauthorized drugs or abusing legal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Being on school premises or at a school-sponsored activity involving students while under the influence of, possessing, using, or consuming alcohol.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w:t>
      </w:r>
      <w:r>
        <w:rPr>
          <w:rFonts w:ascii="Times New Roman" w:hAnsi="Times New Roman"/>
          <w:b w:val="false"/>
          <w:i w:val="false"/>
          <w:color w:val="000000"/>
          <w:sz w:val="22"/>
        </w:rPr>
        <w:t> </w:t>
      </w:r>
      <w:r>
        <w:rPr>
          <w:rFonts w:ascii="Times New Roman" w:hAnsi="Times New Roman"/>
          <w:b w:val="false"/>
          <w:i/>
          <w:color w:val="000000"/>
          <w:sz w:val="22"/>
        </w:rPr>
        <w:t xml:space="preserve">Standard III—misrepresentation, falsification of information. </w:t>
      </w:r>
      <w:r>
        <w:rPr>
          <w:rFonts w:ascii="Times New Roman" w:hAnsi="Times New Roman"/>
          <w:b w:val="false"/>
          <w:i w:val="false"/>
          <w:color w:val="000000"/>
          <w:sz w:val="22"/>
        </w:rPr>
        <w:t>Violation of this standard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Falsifying or deliberately misrepresenting or omitting material information regarding professional qualifications, criminal history, college credit, staff development credit, degrees, academic award, or employment history when applying for employment 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Falsifying or deliberately misrepresenting or omitting material information regarding compliance reports submitted to federal, state, and other governmental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Falsifying or deliberately misrepresenting or omitting material information submitted in the course of an official inquiry 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Falsifying any records or information submitted to the board in compliance with the license renewal requirements imposed under </w:t>
      </w:r>
      <w:hyperlink r:id="rId18">
        <w:r>
          <w:rPr>
            <w:rStyle w:val="Hyperlink"/>
            <w:rFonts w:ascii="Times New Roman" w:hAnsi="Times New Roman"/>
            <w:b w:val="false"/>
            <w:i w:val="false"/>
            <w:color w:val="000000"/>
            <w:sz w:val="22"/>
          </w:rPr>
          <w:t>282—Chapter 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Falsifying or deliberately misrepresenting or omitting material information regarding the evaluation of students or personnel, including improper administration of any standardized tests, including but not limited to changing test answers, providing test answers, copying or teaching identified test items, or using inappropriate accommodations or modifications for such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w:t>
      </w:r>
      <w:r>
        <w:rPr>
          <w:rFonts w:ascii="Times New Roman" w:hAnsi="Times New Roman"/>
          <w:b w:val="false"/>
          <w:i w:val="false"/>
          <w:color w:val="000000"/>
          <w:sz w:val="22"/>
        </w:rPr>
        <w:t> </w:t>
      </w:r>
      <w:r>
        <w:rPr>
          <w:rFonts w:ascii="Times New Roman" w:hAnsi="Times New Roman"/>
          <w:b w:val="false"/>
          <w:i/>
          <w:color w:val="000000"/>
          <w:sz w:val="22"/>
        </w:rPr>
        <w:t xml:space="preserve">Standard IV—misuse of public funds and property. </w:t>
      </w:r>
      <w:r>
        <w:rPr>
          <w:rFonts w:ascii="Times New Roman" w:hAnsi="Times New Roman"/>
          <w:b w:val="false"/>
          <w:i w:val="false"/>
          <w:color w:val="000000"/>
          <w:sz w:val="22"/>
        </w:rPr>
        <w:t>Violation of this standard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properly account for funds collected that were entrusted to the practitioner in an educational context.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Converting public property or funds to the personal use of the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fraudulent requests for reimbursement of expenses or for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Combining public or school-related funds with personal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Failing to use time or funds granted for the purpose for which they were intended.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w:t>
      </w:r>
      <w:r>
        <w:rPr>
          <w:rFonts w:ascii="Times New Roman" w:hAnsi="Times New Roman"/>
          <w:b w:val="false"/>
          <w:i w:val="false"/>
          <w:color w:val="000000"/>
          <w:sz w:val="22"/>
        </w:rPr>
        <w:t> </w:t>
      </w:r>
      <w:r>
        <w:rPr>
          <w:rFonts w:ascii="Times New Roman" w:hAnsi="Times New Roman"/>
          <w:b w:val="false"/>
          <w:i/>
          <w:color w:val="000000"/>
          <w:sz w:val="22"/>
        </w:rPr>
        <w:t xml:space="preserve">Standard V—violations of contractual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Violation of this standard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Asking a practitioner to sign a written professional employment contract before the practitioner has been unconditionally released from a current contract, unless the practitioner provided notice to the practitioner’s employing board as set forth in subparagraph </w:t>
      </w:r>
      <w:r>
        <w:rPr>
          <w:rFonts w:ascii="Times New Roman" w:hAnsi="Times New Roman"/>
          <w:b w:val="false"/>
          <w:i w:val="false"/>
          <w:color w:val="000000"/>
          <w:sz w:val="22"/>
        </w:rPr>
        <w:t>25.3(5)</w:t>
      </w:r>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Abandoning a written professional employment contract without prior unconditional release by the employer.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 an employer, executing a written professional employment contract with a practitioner that requires the performance of duties that the practitioner is not legally qualified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 a practitioner, executing a written professional employment contract that requires the performance of duties that the practitioner is not legally qualified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addressing complaints based upon contractual obligations, the board will consider factors beyond the practitioner’s control. For purposes of enforcement of this standard, a practitioner will not be found to have abandoned an existing contract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practitioner obtained a release from the employing board before discontinuing services under the contract;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practitioner provided notice to the employing board no later than the latest of the following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practitioner’s last work day of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set for return of the contract as specified in statute;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June 30.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25.3(6)</w:t>
      </w:r>
      <w:r>
        <w:rPr>
          <w:rFonts w:ascii="Times New Roman" w:hAnsi="Times New Roman"/>
          <w:b w:val="false"/>
          <w:i w:val="false"/>
          <w:color w:val="000000"/>
          <w:sz w:val="22"/>
        </w:rPr>
        <w:t> </w:t>
      </w:r>
      <w:r>
        <w:rPr>
          <w:rFonts w:ascii="Times New Roman" w:hAnsi="Times New Roman"/>
          <w:b w:val="false"/>
          <w:i/>
          <w:color w:val="000000"/>
          <w:sz w:val="22"/>
        </w:rPr>
        <w:t xml:space="preserve">Standard VI—unethical practice toward other members of the profession, parents, students, and the community. </w:t>
      </w:r>
      <w:r>
        <w:rPr>
          <w:rFonts w:ascii="Times New Roman" w:hAnsi="Times New Roman"/>
          <w:b w:val="false"/>
          <w:i w:val="false"/>
          <w:color w:val="000000"/>
          <w:sz w:val="22"/>
        </w:rPr>
        <w:t>Violation of this standard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Denying the student, without just cause, access to varying points of 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Deliberately suppressing or distorting subject matter for which the educator bears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make reasonable effort to protect the health and safety of the student or creating conditions harmful to student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Conducting professional business in such a way that the practitioner repeatedly exposes students or other practitioners to unnecessary embarrassment or disparagement.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Engaging in any act of illegal discrimination, or otherwise denying a student or practitioner participation in the benefits of any program, on the grounds of race, creed, color, religion, age, sex, sexual orientation, gender identity, disability, marital status, or national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Soliciting students or parents of students to purchase equipment, supplies, or services from the practitioner for the practitioner’s personal advantage.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Accepting gifts from vendors or potential vendors where there may be the appearance of a or an actual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Intentionally disclosing confidential information, including but not limited to unauthorized sharing of information concerning student academic or disciplinary records, health and medical information, assessment or testing results, or family income. Licensees will comply with state and federal laws and local school board policies relating to the confidentiality of student records unless disclosure is required or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 Refusing to participate in a professional inquiry when requested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Aiding, assisting, or abetting an unlicensed person in the completion of acts for which licensure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self-report to the board within 60 days any founded child abuse report or any conviction for a criminal offense listed in subparagraph </w:t>
      </w:r>
      <w:r>
        <w:rPr>
          <w:rFonts w:ascii="Times New Roman" w:hAnsi="Times New Roman"/>
          <w:b w:val="false"/>
          <w:i w:val="false"/>
          <w:color w:val="000000"/>
          <w:sz w:val="22"/>
        </w:rPr>
        <w:t>25.3(1)</w:t>
      </w:r>
      <w:r>
        <w:rPr>
          <w:rFonts w:ascii="Times New Roman" w:hAnsi="Times New Roman"/>
          <w:b w:val="false"/>
          <w:i/>
          <w:color w:val="000000"/>
          <w:sz w:val="22"/>
        </w:rPr>
        <w:t>“b”</w:t>
      </w:r>
      <w:r>
        <w:rPr>
          <w:rFonts w:ascii="Times New Roman" w:hAnsi="Times New Roman"/>
          <w:b w:val="false"/>
          <w:i w:val="false"/>
          <w:color w:val="000000"/>
          <w:sz w:val="22"/>
        </w:rPr>
        <w:t xml:space="preserve">(1) that requires revocation of the practitioner’s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Delegating tasks to unqualified 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federal, state, and local laws applicable to the fulfillment of professional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Allowing another person to use one’s practitioner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Performing services beyond the authorized scope of practice for which the individual is licensed or prepared or performing services without holding a valid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Falsifying, forging, or altering a license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practitioner holding a contract under Iowa Code section </w:t>
      </w:r>
      <w:hyperlink r:id="rId19">
        <w:r>
          <w:rPr>
            <w:rStyle w:val="Hyperlink"/>
            <w:rFonts w:ascii="Times New Roman" w:hAnsi="Times New Roman"/>
            <w:b w:val="false"/>
            <w:i w:val="false"/>
            <w:color w:val="000000"/>
            <w:sz w:val="22"/>
          </w:rPr>
          <w:t>279.13</w:t>
        </w:r>
      </w:hyperlink>
      <w:r>
        <w:rPr>
          <w:rFonts w:ascii="Times New Roman" w:hAnsi="Times New Roman"/>
          <w:b w:val="false"/>
          <w:i w:val="false"/>
          <w:color w:val="000000"/>
          <w:sz w:val="22"/>
        </w:rPr>
        <w:t xml:space="preserve"> to disclose to the school official responsible for determining assignments a teaching assignment for which the practitioner is not properly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school official responsible for assigning licensed practitioners holding contracts under Iowa Code section </w:t>
      </w:r>
      <w:hyperlink r:id="rId20">
        <w:r>
          <w:rPr>
            <w:rStyle w:val="Hyperlink"/>
            <w:rFonts w:ascii="Times New Roman" w:hAnsi="Times New Roman"/>
            <w:b w:val="false"/>
            <w:i w:val="false"/>
            <w:color w:val="000000"/>
            <w:sz w:val="22"/>
          </w:rPr>
          <w:t>279.13</w:t>
        </w:r>
      </w:hyperlink>
      <w:r>
        <w:rPr>
          <w:rFonts w:ascii="Times New Roman" w:hAnsi="Times New Roman"/>
          <w:b w:val="false"/>
          <w:i w:val="false"/>
          <w:color w:val="000000"/>
          <w:sz w:val="22"/>
        </w:rPr>
        <w:t xml:space="preserve"> to adjust an assignment if the practitioner discloses to the official that the practitioner is not properly licensed for the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Failure of an administrator to protect the safety of staff and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Failure of an administrator to meet mandatory reporter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Refusal of the practitioner to implement provisions of an individualized education program or behavioral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Habitual nonparticipation in professional development by the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25.3(7)</w:t>
      </w:r>
      <w:r>
        <w:rPr>
          <w:rFonts w:ascii="Times New Roman" w:hAnsi="Times New Roman"/>
          <w:b w:val="false"/>
          <w:i w:val="false"/>
          <w:color w:val="000000"/>
          <w:sz w:val="22"/>
        </w:rPr>
        <w:t> </w:t>
      </w:r>
      <w:r>
        <w:rPr>
          <w:rFonts w:ascii="Times New Roman" w:hAnsi="Times New Roman"/>
          <w:b w:val="false"/>
          <w:i/>
          <w:color w:val="000000"/>
          <w:sz w:val="22"/>
        </w:rPr>
        <w:t xml:space="preserve">Standard VII—compliance with state law governing obligations to state or local governments, child support obligations, and board orders. </w:t>
      </w:r>
      <w:r>
        <w:rPr>
          <w:rFonts w:ascii="Times New Roman" w:hAnsi="Times New Roman"/>
          <w:b w:val="false"/>
          <w:i w:val="false"/>
          <w:color w:val="000000"/>
          <w:sz w:val="22"/>
        </w:rPr>
        <w:t>Violation of this standard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Failing to comply with </w:t>
      </w:r>
      <w:hyperlink r:id="rId21">
        <w:r>
          <w:rPr>
            <w:rStyle w:val="Hyperlink"/>
            <w:rFonts w:ascii="Times New Roman" w:hAnsi="Times New Roman"/>
            <w:b w:val="false"/>
            <w:i w:val="false"/>
            <w:color w:val="000000"/>
            <w:sz w:val="22"/>
          </w:rPr>
          <w:t>282—Chapter 8</w:t>
        </w:r>
      </w:hyperlink>
      <w:r>
        <w:rPr>
          <w:rFonts w:ascii="Times New Roman" w:hAnsi="Times New Roman"/>
          <w:b w:val="false"/>
          <w:i w:val="false"/>
          <w:color w:val="000000"/>
          <w:sz w:val="22"/>
        </w:rPr>
        <w:t xml:space="preserve"> concerning payment of debts to state or local governments.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comply with </w:t>
      </w:r>
      <w:hyperlink r:id="rId22">
        <w:r>
          <w:rPr>
            <w:rStyle w:val="Hyperlink"/>
            <w:rFonts w:ascii="Times New Roman" w:hAnsi="Times New Roman"/>
            <w:b w:val="false"/>
            <w:i w:val="false"/>
            <w:color w:val="000000"/>
            <w:sz w:val="22"/>
          </w:rPr>
          <w:t>282—Chapter 10</w:t>
        </w:r>
      </w:hyperlink>
      <w:r>
        <w:rPr>
          <w:rFonts w:ascii="Times New Roman" w:hAnsi="Times New Roman"/>
          <w:b w:val="false"/>
          <w:i w:val="false"/>
          <w:color w:val="000000"/>
          <w:sz w:val="22"/>
        </w:rPr>
        <w:t xml:space="preserve"> concerning child support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a board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25.3(8)</w:t>
      </w:r>
      <w:r>
        <w:rPr>
          <w:rFonts w:ascii="Times New Roman" w:hAnsi="Times New Roman"/>
          <w:b w:val="false"/>
          <w:i w:val="false"/>
          <w:color w:val="000000"/>
          <w:sz w:val="22"/>
        </w:rPr>
        <w:t> </w:t>
      </w:r>
      <w:r>
        <w:rPr>
          <w:rFonts w:ascii="Times New Roman" w:hAnsi="Times New Roman"/>
          <w:b w:val="false"/>
          <w:i/>
          <w:color w:val="000000"/>
          <w:sz w:val="22"/>
        </w:rPr>
        <w:t xml:space="preserve">Standard VIII—incompetence. </w:t>
      </w:r>
      <w:r>
        <w:rPr>
          <w:rFonts w:ascii="Times New Roman" w:hAnsi="Times New Roman"/>
          <w:b w:val="false"/>
          <w:i w:val="false"/>
          <w:color w:val="000000"/>
          <w:sz w:val="22"/>
        </w:rPr>
        <w:t>Violation of this standard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Willfully or repeatedly departing from or failing to conform to the minimum standards of acceptable and prevailing educational practice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Willfully or repeatedly failing to practice with reasonable skill and safety.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 These rules are intended to implement Iowa Code chapter </w:t>
      </w:r>
      <w:hyperlink r:id="rId23">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7/15/04, Notice 4/28/04—published 8/4/04, effective 9/8/04]</w:t>
      </w:r>
    </w:p>
    <w:p>
      <w:pPr>
        <w:spacing w:before="0" w:after="0"/>
        <w:ind w:left="120"/>
        <w:jc w:val="center"/>
      </w:pPr>
      <w:r>
        <w:rPr>
          <w:rFonts w:ascii="Times New Roman" w:hAnsi="Times New Roman"/>
          <w:b w:val="false"/>
          <w:i w:val="false"/>
          <w:color w:val="000000"/>
          <w:sz w:val="21"/>
        </w:rPr>
        <w:t>[Filed 2/13/08, Notice 11/7/07—published 3/12/08, effective 4/16/08]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7979B</w:t>
      </w:r>
      <w:r>
        <w:rPr>
          <w:rFonts w:ascii="Times New Roman" w:hAnsi="Times New Roman"/>
          <w:b w:val="false"/>
          <w:i w:val="false"/>
          <w:color w:val="000000"/>
          <w:sz w:val="21"/>
        </w:rPr>
        <w:t xml:space="preserve"> (Notice ARC 7747B, IAB 5/6/09)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8136B</w:t>
      </w:r>
      <w:r>
        <w:rPr>
          <w:rFonts w:ascii="Times New Roman" w:hAnsi="Times New Roman"/>
          <w:b w:val="false"/>
          <w:i w:val="false"/>
          <w:color w:val="000000"/>
          <w:sz w:val="21"/>
        </w:rPr>
        <w:t xml:space="preserve"> (Notice ARC 7864B, IAB 6/17/09)</w:t>
      </w:r>
      <w:r>
        <w:rPr>
          <w:rFonts w:ascii="Times New Roman" w:hAnsi="Times New Roman"/>
          <w:b w:val="false"/>
          <w:i w:val="false"/>
          <w:color w:val="000000"/>
          <w:sz w:val="21"/>
        </w:rPr>
        <w:t>, IAB 9/9/09, effective 10/14/09]</w:t>
      </w:r>
      <w:r>
        <w:br/>
      </w:r>
      <w:r>
        <w:rPr>
          <w:rFonts w:ascii="Times New Roman" w:hAnsi="Times New Roman"/>
          <w:b w:val="false"/>
          <w:i w:val="false"/>
          <w:color w:val="000000"/>
          <w:sz w:val="21"/>
        </w:rPr>
        <w:t>[Filed ARC 8137B</w:t>
      </w:r>
      <w:r>
        <w:rPr>
          <w:rFonts w:ascii="Times New Roman" w:hAnsi="Times New Roman"/>
          <w:b w:val="false"/>
          <w:i w:val="false"/>
          <w:color w:val="000000"/>
          <w:sz w:val="21"/>
        </w:rPr>
        <w:t xml:space="preserve"> (Notice ARC 7868B, IAB 6/17/09)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9208B</w:t>
      </w:r>
      <w:r>
        <w:rPr>
          <w:rFonts w:ascii="Times New Roman" w:hAnsi="Times New Roman"/>
          <w:b w:val="false"/>
          <w:i w:val="false"/>
          <w:color w:val="000000"/>
          <w:sz w:val="21"/>
        </w:rPr>
        <w:t xml:space="preserve"> (Notice ARC 8970B, IAB 7/28/10)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0025C</w:t>
      </w:r>
      <w:r>
        <w:rPr>
          <w:rFonts w:ascii="Times New Roman" w:hAnsi="Times New Roman"/>
          <w:b w:val="false"/>
          <w:i w:val="false"/>
          <w:color w:val="000000"/>
          <w:sz w:val="21"/>
        </w:rPr>
        <w:t xml:space="preserve"> (Notice ARC 9923B, IAB 12/14/11)</w:t>
      </w:r>
      <w:r>
        <w:rPr>
          <w:rFonts w:ascii="Times New Roman" w:hAnsi="Times New Roman"/>
          <w:b w:val="false"/>
          <w:i w:val="false"/>
          <w:color w:val="000000"/>
          <w:sz w:val="21"/>
        </w:rPr>
        <w:t>, IAB 3/7/12, effective 4/11/12]</w:t>
      </w:r>
      <w:r>
        <w:br/>
      </w:r>
      <w:r>
        <w:rPr>
          <w:rFonts w:ascii="Times New Roman" w:hAnsi="Times New Roman"/>
          <w:b w:val="false"/>
          <w:i w:val="false"/>
          <w:color w:val="000000"/>
          <w:sz w:val="21"/>
        </w:rPr>
        <w:t>[Filed ARC 0026C</w:t>
      </w:r>
      <w:r>
        <w:rPr>
          <w:rFonts w:ascii="Times New Roman" w:hAnsi="Times New Roman"/>
          <w:b w:val="false"/>
          <w:i w:val="false"/>
          <w:color w:val="000000"/>
          <w:sz w:val="21"/>
        </w:rPr>
        <w:t xml:space="preserve"> (Notice ARC 9924B, IAB 12/14/11)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0853C</w:t>
      </w:r>
      <w:r>
        <w:rPr>
          <w:rFonts w:ascii="Times New Roman" w:hAnsi="Times New Roman"/>
          <w:b w:val="false"/>
          <w:i w:val="false"/>
          <w:color w:val="000000"/>
          <w:sz w:val="21"/>
        </w:rPr>
        <w:t xml:space="preserve"> (Notice ARC 0677C, IAB 4/3/13)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1170C</w:t>
      </w:r>
      <w:r>
        <w:rPr>
          <w:rFonts w:ascii="Times New Roman" w:hAnsi="Times New Roman"/>
          <w:b w:val="false"/>
          <w:i w:val="false"/>
          <w:color w:val="000000"/>
          <w:sz w:val="21"/>
        </w:rPr>
        <w:t xml:space="preserve"> (Notice ARC 0992C, IAB 9/4/13)</w:t>
      </w:r>
      <w:r>
        <w:rPr>
          <w:rFonts w:ascii="Times New Roman" w:hAnsi="Times New Roman"/>
          <w:b w:val="false"/>
          <w:i w:val="false"/>
          <w:color w:val="000000"/>
          <w:sz w:val="21"/>
        </w:rPr>
        <w:t>, IAB 11/13/13, effective 12/18/13]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4302C</w:t>
      </w:r>
      <w:r>
        <w:rPr>
          <w:rFonts w:ascii="Times New Roman" w:hAnsi="Times New Roman"/>
          <w:b w:val="false"/>
          <w:i w:val="false"/>
          <w:color w:val="000000"/>
          <w:sz w:val="21"/>
        </w:rPr>
        <w:t xml:space="preserve"> (Notice ARC 4147C, IAB 12/5/18)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4633C</w:t>
      </w:r>
      <w:r>
        <w:rPr>
          <w:rFonts w:ascii="Times New Roman" w:hAnsi="Times New Roman"/>
          <w:b w:val="false"/>
          <w:i w:val="false"/>
          <w:color w:val="000000"/>
          <w:sz w:val="21"/>
        </w:rPr>
        <w:t xml:space="preserve"> (Notice ARC 4503C,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5324C</w:t>
      </w:r>
      <w:r>
        <w:rPr>
          <w:rFonts w:ascii="Times New Roman" w:hAnsi="Times New Roman"/>
          <w:b w:val="false"/>
          <w:i w:val="false"/>
          <w:color w:val="000000"/>
          <w:sz w:val="21"/>
        </w:rPr>
        <w:t xml:space="preserve"> (Notice ARC 5214C, IAB 10/7/20)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8823C</w:t>
      </w:r>
      <w:r>
        <w:rPr>
          <w:rFonts w:ascii="Times New Roman" w:hAnsi="Times New Roman"/>
          <w:b w:val="false"/>
          <w:i w:val="false"/>
          <w:color w:val="000000"/>
          <w:sz w:val="21"/>
        </w:rPr>
        <w:t xml:space="preserve"> (Notice ARC 8303C, IAB 10/30/24)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December 18, 2013, effective date of ARC 1170C [25.3(1)] delayed until the adjournment of the 2014 General Assembly by the Administrative Rules Review Committee at its meeting held December 10, 2013.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pdf" Type="http://schemas.openxmlformats.org/officeDocument/2006/relationships/hyperlink" Id="rId5"/>
    <Relationship TargetMode="External" Target="https://www.legis.iowa.gov/docs/iac/rule/282.25.2.pdf" Type="http://schemas.openxmlformats.org/officeDocument/2006/relationships/hyperlink" Id="rId6"/>
    <Relationship TargetMode="External" Target="https://www.legis.iowa.gov/docs/ico/chapter/702.11.pdf" Type="http://schemas.openxmlformats.org/officeDocument/2006/relationships/hyperlink" Id="rId7"/>
    <Relationship TargetMode="External" Target="https://www.legis.iowa.gov/docs/ico/chapter/709.pdf" Type="http://schemas.openxmlformats.org/officeDocument/2006/relationships/hyperlink" Id="rId8"/>
    <Relationship TargetMode="External" Target="https://www.legis.iowa.gov/docs/ico/chapter/710.10.pdf" Type="http://schemas.openxmlformats.org/officeDocument/2006/relationships/hyperlink" Id="rId9"/>
    <Relationship TargetMode="External" Target="https://www.legis.iowa.gov/docs/ico/chapter/710A.2.pdf" Type="http://schemas.openxmlformats.org/officeDocument/2006/relationships/hyperlink" Id="rId10"/>
    <Relationship TargetMode="External" Target="https://www.legis.iowa.gov/docs/ico/chapter/726.2.pdf" Type="http://schemas.openxmlformats.org/officeDocument/2006/relationships/hyperlink" Id="rId11"/>
    <Relationship TargetMode="External" Target="https://www.legis.iowa.gov/docs/ico/chapter/728.2.pdf" Type="http://schemas.openxmlformats.org/officeDocument/2006/relationships/hyperlink" Id="rId12"/>
    <Relationship TargetMode="External" Target="https://www.legis.iowa.gov/docs/ico/chapter/728.15.pdf" Type="http://schemas.openxmlformats.org/officeDocument/2006/relationships/hyperlink" Id="rId13"/>
    <Relationship TargetMode="External" Target="https://www.legis.iowa.gov/docs/ico/chapter/702.17.pdf" Type="http://schemas.openxmlformats.org/officeDocument/2006/relationships/hyperlink" Id="rId14"/>
    <Relationship TargetMode="External" Target="https://www.legis.iowa.gov/docs/ico/chapter/728.12.pdf" Type="http://schemas.openxmlformats.org/officeDocument/2006/relationships/hyperlink" Id="rId15"/>
    <Relationship TargetMode="External" Target="https://www.legis.iowa.gov/docs/ico/chapter/709.pdf" Type="http://schemas.openxmlformats.org/officeDocument/2006/relationships/hyperlink" Id="rId16"/>
    <Relationship TargetMode="External" Target="https://www.legis.iowa.gov/docs/ico/chapter/709.15.pdf" Type="http://schemas.openxmlformats.org/officeDocument/2006/relationships/hyperlink" Id="rId17"/>
    <Relationship TargetMode="External" Target="https://www.legis.iowa.gov/docs/iac/chapter/282.20.pdf" Type="http://schemas.openxmlformats.org/officeDocument/2006/relationships/hyperlink" Id="rId18"/>
    <Relationship TargetMode="External" Target="https://www.legis.iowa.gov/docs/ico/chapter/279.13.pdf" Type="http://schemas.openxmlformats.org/officeDocument/2006/relationships/hyperlink" Id="rId19"/>
    <Relationship TargetMode="External" Target="https://www.legis.iowa.gov/docs/ico/chapter/279.13.pdf" Type="http://schemas.openxmlformats.org/officeDocument/2006/relationships/hyperlink" Id="rId20"/>
    <Relationship TargetMode="External" Target="https://www.legis.iowa.gov/docs/iac/chapter/282.8.pdf" Type="http://schemas.openxmlformats.org/officeDocument/2006/relationships/hyperlink" Id="rId21"/>
    <Relationship TargetMode="External" Target="https://www.legis.iowa.gov/docs/iac/chapter/282.10.pdf" Type="http://schemas.openxmlformats.org/officeDocument/2006/relationships/hyperlink" Id="rId22"/>
    <Relationship TargetMode="External" Target="https://www.legis.iowa.gov/docs/ico/chapter/256.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