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PARAEDUCATOR CERTIFICATES</w:t>
      </w:r>
    </w:p>
    <w:p>
      <w:pPr>
        <w:spacing w:before="0" w:after="0"/>
        <w:ind w:left="120"/>
        <w:jc w:val="center"/>
      </w:pPr>
      <w:r>
        <w:rPr>
          <w:rFonts w:ascii="Times New Roman" w:hAnsi="Times New Roman"/>
          <w:b w:val="false"/>
          <w:i w:val="false"/>
          <w:color w:val="000000"/>
          <w:sz w:val="14"/>
        </w:rPr>
        <w:t>[Prior to 1/14/09, see Educational Examiners Board[282] Ch 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282—24.1</w:t>
      </w:r>
      <w:r>
        <w:rPr>
          <w:rFonts w:ascii="Times New Roman" w:hAnsi="Times New Roman"/>
          <w:b/>
          <w:i w:val="false"/>
          <w:color w:val="000000"/>
          <w:sz w:val="22"/>
        </w:rPr>
        <w:t xml:space="preserve">(256) </w:t>
      </w:r>
      <w:r>
        <w:rPr>
          <w:rFonts w:ascii="Times New Roman" w:hAnsi="Times New Roman"/>
          <w:b/>
          <w:i w:val="false"/>
          <w:color w:val="000000"/>
          <w:sz w:val="22"/>
        </w:rPr>
        <w:t xml:space="preserve">Paraeducator certificates. </w:t>
      </w:r>
      <w:r>
        <w:rPr>
          <w:rFonts w:ascii="Times New Roman" w:hAnsi="Times New Roman"/>
          <w:b w:val="false"/>
          <w:i w:val="false"/>
          <w:color w:val="000000"/>
          <w:sz w:val="22"/>
        </w:rPr>
        <w:t>An applicant for an initial paraeducator certificate who completes the paraeducator preparation program from a recognized Iowa paraeducator-approved program will have the recommendation from the designated certifying official at the recognized area education agency, local education agency, community college, or institution of higher education where the preparation was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282—24.2</w:t>
      </w:r>
      <w:r>
        <w:rPr>
          <w:rFonts w:ascii="Times New Roman" w:hAnsi="Times New Roman"/>
          <w:b/>
          <w:i w:val="false"/>
          <w:color w:val="000000"/>
          <w:sz w:val="22"/>
        </w:rPr>
        <w:t xml:space="preserve">(256) </w:t>
      </w:r>
      <w:r>
        <w:rPr>
          <w:rFonts w:ascii="Times New Roman" w:hAnsi="Times New Roman"/>
          <w:b/>
          <w:i w:val="false"/>
          <w:color w:val="000000"/>
          <w:sz w:val="22"/>
        </w:rPr>
        <w:t xml:space="preserve">Prekindergarten through grade 12 paraeducator generalist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24.2(1)</w:t>
      </w:r>
      <w:r>
        <w:rPr>
          <w:rFonts w:ascii="Times New Roman" w:hAnsi="Times New Roman"/>
          <w:b w:val="false"/>
          <w:i w:val="false"/>
          <w:color w:val="000000"/>
          <w:sz w:val="22"/>
        </w:rPr>
        <w:t> </w:t>
      </w:r>
      <w:r>
        <w:rPr>
          <w:rFonts w:ascii="Times New Roman" w:hAnsi="Times New Roman"/>
          <w:b w:val="false"/>
          <w:i w:val="false"/>
          <w:color w:val="000000"/>
          <w:sz w:val="22"/>
        </w:rPr>
        <w:t>Applicants will possess a minimum of a high school diploma or a graduate equivalent diploma.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24.2(2)</w:t>
      </w:r>
      <w:r>
        <w:rPr>
          <w:rFonts w:ascii="Times New Roman" w:hAnsi="Times New Roman"/>
          <w:b w:val="false"/>
          <w:i w:val="false"/>
          <w:color w:val="000000"/>
          <w:sz w:val="22"/>
        </w:rPr>
        <w:t> </w:t>
      </w:r>
      <w:r>
        <w:rPr>
          <w:rFonts w:ascii="Times New Roman" w:hAnsi="Times New Roman"/>
          <w:b w:val="false"/>
          <w:i w:val="false"/>
          <w:color w:val="000000"/>
          <w:sz w:val="22"/>
        </w:rPr>
        <w:t>Applicants will have successfully completed at least 90 clock hours of training in the areas of behavior management, exceptional child and at-risk child behavior, collaboration skills, interpersonal relations skills, child and youth development, technology, and ethical responsibilities and behavior.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24.2(3)</w:t>
      </w:r>
      <w:r>
        <w:rPr>
          <w:rFonts w:ascii="Times New Roman" w:hAnsi="Times New Roman"/>
          <w:b w:val="false"/>
          <w:i w:val="false"/>
          <w:color w:val="000000"/>
          <w:sz w:val="22"/>
        </w:rPr>
        <w:t> </w:t>
      </w:r>
      <w:r>
        <w:rPr>
          <w:rFonts w:ascii="Times New Roman" w:hAnsi="Times New Roman"/>
          <w:b w:val="false"/>
          <w:i w:val="false"/>
          <w:color w:val="000000"/>
          <w:sz w:val="22"/>
        </w:rPr>
        <w:t>Applicants will have successfully completed the following list of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Foundations.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Recognize the different developmental stages of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Believe every student can learn.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Recognize that each learner has unique learning needs that may require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Demonstrate knowledge of the common core, including competence in reading, writing and math.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Function in a manner that demonstrates a positive regard for the distinction between roles and responsibilities of paraeducators and other professionals, including respecting the teacher as supervisor and seeing the teacher as ultimately responsible for the education and behavior of the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Learning environment.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 the prescribed health, safety, and emergency school and classroom policy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Organize materials to support teaching and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Facilitate the integration of students with diverse needs in various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 with special health services, under the supervision of a licensed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Promote a safe and positive learning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Function in various instructional settings (e.g., large group, small group, tutoring).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and instruction.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 with learning activities and opportunities to accomplish instructional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 high expectations that are shared, clearly defined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 progress and document and report objective observations that inform instructional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Effectively use verbal and nonverbal forms of communication with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 with the implementation and use of instructional and assistive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Emotional and behavioral.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 in modeling and teaching specific appropriate behaviors, social skills, and procedures that facilitate safety and learning in various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 in the implementation of individualized behavior management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 and report objective observations on student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 in modifying the learning environment to manage behavior and social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Recognize that there is a cause or reason for misbehavior and assist in determining the cause or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Recognize, address, and report bullying.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Recognize and report atypical emotional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Professional relationships.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 a commitment to work as an effective team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Foster a professional and caring relationship with each student’s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Develop and maintain positive and professional relationships with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Ethical and professional practice.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 ethical practices for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Participate in ongoing 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Accept and apply constructive feedback.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Abide by the Iowa code of ethics and professional practice rules of the board of educational examiners and rules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Demonstrate the ability to separate personal issues from one’s responsibilities in the workplace.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Maintain a high level of competency and integrity.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Share information regarding students’ performance, behavior, or program with students’ parents or guardians only as directed by the supervising teacher or educator.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Be aware of personal biases and beliefs and refrain from discriminatory practices based on a student’s disability, race, creed, color, religion, age, sex, sexual orientation, gender identity, disability, marital status, or national origin.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Demonstrate ethical behavior when supporting students with graded activities, quizzes, and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Abide by Iowa law regarding the use of restraint and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Recognize that the paraeducator may not be given primary responsibility for the education of an individual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Recognize that instructional decisions are made by the individualized education program (IEP) team for students with disabilities and that any changes to instruction, accommodations, supports, and services cannot be made outside the IEP team.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282—24.3</w:t>
      </w:r>
      <w:r>
        <w:rPr>
          <w:rFonts w:ascii="Times New Roman" w:hAnsi="Times New Roman"/>
          <w:b/>
          <w:i w:val="false"/>
          <w:color w:val="000000"/>
          <w:sz w:val="22"/>
        </w:rPr>
        <w:t xml:space="preserve">(256) </w:t>
      </w:r>
      <w:r>
        <w:rPr>
          <w:rFonts w:ascii="Times New Roman" w:hAnsi="Times New Roman"/>
          <w:b/>
          <w:i w:val="false"/>
          <w:color w:val="000000"/>
          <w:sz w:val="22"/>
        </w:rPr>
        <w:t xml:space="preserve">Paraeducator area of concentration. </w:t>
      </w:r>
      <w:r>
        <w:rPr>
          <w:rFonts w:ascii="Times New Roman" w:hAnsi="Times New Roman"/>
          <w:b w:val="false"/>
          <w:i w:val="false"/>
          <w:color w:val="000000"/>
          <w:sz w:val="22"/>
        </w:rPr>
        <w:t>An area of concentration is not required but optional. Applicants will currently hold or have previously held an Iowa paraeducator generalist certificate. Applicants may complete one or more areas of concentration but will complete at least 45 clock hours in each area of concentration, with the exception of the substitute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color w:val="000000"/>
          <w:sz w:val="22"/>
        </w:rPr>
        <w:t xml:space="preserve">Early childhood—prekindergarten through grade 3. </w:t>
      </w:r>
      <w:r>
        <w:rPr>
          <w:rFonts w:ascii="Times New Roman" w:hAnsi="Times New Roman"/>
          <w:b w:val="false"/>
          <w:i w:val="false"/>
          <w:color w:val="000000"/>
          <w:sz w:val="22"/>
        </w:rPr>
        <w:t>The paraeducator will successfully complete the following list of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Foundations.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 and understand young children’s typical and atypical developmental stages and their needs at each stage.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Recognize multiple influences on young children’s development and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Recognize developmentally appropriate practices for interactions with and the education of young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Learning environment.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Describe the elements of environments that support children’s learning and well-being.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 skills, strategies, and activities involving an individual child or small groups of children to reinforce instruction from a licensed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 up environments that are safe, inclusive, and responsive to children’s developmental strengths, interests and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and instruction.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Recognize effective strategies and techniques to stimulate cognitive, physical, social, emotional, and language development for each child in a developmentally appropriate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 knowledge and understanding of the Iowa Early Learning Standards by describing what young children know and do in order to provide experiences and interactions to promote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Gather information, as instructed by the classroom teacher, about an individual child’s development, learning and behaviors, including observing, recording, and charting.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Emotional and behavioral competencies.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Gather information, as instructed by the classroom teacher, to identify children’s skills and provide appropriate levels of support needed for the children to access, participate and engage in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Implement teacher-designed intervention plans to promote positive social relationships, interactions and behaviors that are age- and developmentally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Professional relationships.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 the ability to collaborate with an educational team to systematically and regularly exchange information to support problem solving, planning, and the implementing of instruction and individualized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 the ability to establish relationships with all children and their families that are respectful, supportive and sensitive.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 a collaborative relationship with the teacher to support children’s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Demonstrate knowledge of community services and agencies available to assist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Ethical and professional practice. </w:t>
      </w:r>
      <w:r>
        <w:rPr>
          <w:rFonts w:ascii="Times New Roman" w:hAnsi="Times New Roman"/>
          <w:b w:val="false"/>
          <w:i w:val="false"/>
          <w:color w:val="000000"/>
          <w:sz w:val="22"/>
        </w:rPr>
        <w:t>Under the supervision of a licensed education professional, the paraeducator will demonstrate knowledge of Iowa Early Learning Standards and the preschool program standards being implemented, which may include the Iowa Quality Preschool Program Standards, Head Start Program Performance Standards and National Association for the Education of Young Children (NAEYC) Program Standards and Accreditation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color w:val="000000"/>
          <w:sz w:val="22"/>
        </w:rPr>
        <w:t xml:space="preserve">Special needs—prekindergarten through grade 12. </w:t>
      </w:r>
      <w:r>
        <w:rPr>
          <w:rFonts w:ascii="Times New Roman" w:hAnsi="Times New Roman"/>
          <w:b w:val="false"/>
          <w:i w:val="false"/>
          <w:color w:val="000000"/>
          <w:sz w:val="22"/>
        </w:rPr>
        <w:t>The paraeducator will successfully complete the following list of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Foundations. </w:t>
      </w:r>
      <w:r>
        <w:rPr>
          <w:rFonts w:ascii="Times New Roman" w:hAnsi="Times New Roman"/>
          <w:b w:val="false"/>
          <w:i w:val="false"/>
          <w:color w:val="000000"/>
          <w:sz w:val="22"/>
        </w:rPr>
        <w:t>Under the supervision of a licensed education professional, the paraeducator will demonstrate an understanding of an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Learning environment. </w:t>
      </w:r>
      <w:r>
        <w:rPr>
          <w:rFonts w:ascii="Times New Roman" w:hAnsi="Times New Roman"/>
          <w:b w:val="false"/>
          <w:i w:val="false"/>
          <w:color w:val="000000"/>
          <w:sz w:val="22"/>
        </w:rPr>
        <w:t>Under the supervision of a licensed education professional, the paraeducator will demonstrate an understanding of the value of serving children and youth with disabilities and special needs in inclusive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and instruction.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Implement the activities assigned by a teacher to meet the goals and objectives in an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 in academic subjects through use of lesson plans and instructional strategies developed by teachers and other professional support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Gather and maintain data about the performance of individual students and confer with special and general education practitioners about student schedules, instructional goals, progress, and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Operate computers and use assistive technology and adaptive equipment that will enable students with special needs to participate more fully in general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Emotional and behavioral.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Gather and maintain data about the behavior of individual students and confer with special and general education practitioners about student schedules, instructional goals, progress, and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appropriate instructional procedures and reinforcement techniques as specified in the IEP or by the behavior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Professional relationships. </w:t>
      </w:r>
      <w:r>
        <w:rPr>
          <w:rFonts w:ascii="Times New Roman" w:hAnsi="Times New Roman"/>
          <w:b w:val="false"/>
          <w:i w:val="false"/>
          <w:color w:val="000000"/>
          <w:sz w:val="22"/>
        </w:rPr>
        <w:t>Under the supervision of a licensed education professional, the paraeducator will, if asked, participate as a member of the IEP team responsible for developing service plans and educational objectives.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24.3(3)</w:t>
      </w:r>
      <w:r>
        <w:rPr>
          <w:rFonts w:ascii="Times New Roman" w:hAnsi="Times New Roman"/>
          <w:b w:val="false"/>
          <w:i w:val="false"/>
          <w:color w:val="000000"/>
          <w:sz w:val="22"/>
        </w:rPr>
        <w:t> </w:t>
      </w:r>
      <w:r>
        <w:rPr>
          <w:rFonts w:ascii="Times New Roman" w:hAnsi="Times New Roman"/>
          <w:b w:val="false"/>
          <w:i/>
          <w:color w:val="000000"/>
          <w:sz w:val="22"/>
        </w:rPr>
        <w:t xml:space="preserve">English as a second language—prekindergarten through grade 12. </w:t>
      </w:r>
      <w:r>
        <w:rPr>
          <w:rFonts w:ascii="Times New Roman" w:hAnsi="Times New Roman"/>
          <w:b w:val="false"/>
          <w:i w:val="false"/>
          <w:color w:val="000000"/>
          <w:sz w:val="22"/>
        </w:rPr>
        <w:t>The paraeducator will successfully complete the following list of competencies so that, under the direction and supervision of a qualified classroom teacher, the paraeducator will be able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Operate computers and use technology that will enable students to participate effectively in the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 with the classroom teacher as collaborative partners.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Demonstrate knowledge of the role and use of primary language of instruction in accessing English for academic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Demonstrate knowledge of instructional methodologies for second language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Communicate and work effectively with parents or guardians of English as a second language students in their primary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Demonstrate knowledge of appropriate translation and interpretation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24.3(4)</w:t>
      </w:r>
      <w:r>
        <w:rPr>
          <w:rFonts w:ascii="Times New Roman" w:hAnsi="Times New Roman"/>
          <w:b w:val="false"/>
          <w:i w:val="false"/>
          <w:color w:val="000000"/>
          <w:sz w:val="22"/>
        </w:rPr>
        <w:t> </w:t>
      </w:r>
      <w:r>
        <w:rPr>
          <w:rFonts w:ascii="Times New Roman" w:hAnsi="Times New Roman"/>
          <w:b w:val="false"/>
          <w:i/>
          <w:color w:val="000000"/>
          <w:sz w:val="22"/>
        </w:rPr>
        <w:t xml:space="preserve">Career and transitional programs—grades 5 through 12. </w:t>
      </w:r>
      <w:r>
        <w:rPr>
          <w:rFonts w:ascii="Times New Roman" w:hAnsi="Times New Roman"/>
          <w:b w:val="false"/>
          <w:i w:val="false"/>
          <w:color w:val="000000"/>
          <w:sz w:val="22"/>
        </w:rPr>
        <w:t>The paraeducator will successfully complete the following list of competencies so that, under the direction and supervision of a qualified classroom teacher, the paraeducator will be able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 in the implementation of career and transitional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in the implementation of appropriate behavior management strategies for career and transitional students and those students who may have special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 in the implementation of assigned performance and behavior assessments, including observation, recording, and charting for career and transitional students and those students who may have special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training at job sites using appropriate instructional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Participate in preemployment, employment, or transitional training in classrooms or at off-campus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Communicate effectively with employers and employees at work sites and with personnel or members of the public in other transitional learning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24.3(5)</w:t>
      </w:r>
      <w:r>
        <w:rPr>
          <w:rFonts w:ascii="Times New Roman" w:hAnsi="Times New Roman"/>
          <w:b w:val="false"/>
          <w:i w:val="false"/>
          <w:color w:val="000000"/>
          <w:sz w:val="22"/>
        </w:rPr>
        <w:t> </w:t>
      </w:r>
      <w:r>
        <w:rPr>
          <w:rFonts w:ascii="Times New Roman" w:hAnsi="Times New Roman"/>
          <w:b w:val="false"/>
          <w:i/>
          <w:color w:val="000000"/>
          <w:sz w:val="22"/>
        </w:rPr>
        <w:t xml:space="preserve">School library media—prekindergarten through grade 12. </w:t>
      </w:r>
      <w:r>
        <w:rPr>
          <w:rFonts w:ascii="Times New Roman" w:hAnsi="Times New Roman"/>
          <w:b w:val="false"/>
          <w:i w:val="false"/>
          <w:color w:val="000000"/>
          <w:sz w:val="22"/>
        </w:rPr>
        <w:t>The school library media paraeducator will successfully complete the following list of competencies so that, under the direct supervision and direction of a qualified school library supervisor or school librarian, the paraeducator will be able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aware of, implement, and support the goals, objectives, and policies of the school library media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the school library supervisor or school librarian in general operations, such as processing materials, circulating materials, performing clerical tasks, assisting students and staff, and working with volunteers and student helpers, and to understand the role of the paraeducator in the library setting in order to provide efficient, equitable, and effective library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Demonstrate knowledge of library technical services, including but not limited to cataloging, processing, acquisitions, routine library maintenance, automation and new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aware of and support the integration of literacy initiatives and content area standards (e.g., visual information and technology in support of the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 Be aware of the role school libraries play in improving student achievement, literacy, and lifelong learning.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Demonstrate an understanding of ethical issues related to school libraries, such as copyright, plagiarism, privacy, diversity, confidentiality, and freedom of speech.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Assist in the daily operations of the school library program, such as shelving, working with volunteers and student helpers, inventory, materials repair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Exhibit welcoming behaviors to all library patrons and visitors to encourage use of the library and its 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Demonstrate knowledge of the school library collection and the availability of other resources that will meet individual student information or research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Demonstrate a general knowledge of basic technology skills and assist in troubleshooting basic hardware and software problems.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24.3(6)</w:t>
      </w:r>
      <w:r>
        <w:rPr>
          <w:rFonts w:ascii="Times New Roman" w:hAnsi="Times New Roman"/>
          <w:b w:val="false"/>
          <w:i w:val="false"/>
          <w:color w:val="000000"/>
          <w:sz w:val="22"/>
        </w:rPr>
        <w:t> </w:t>
      </w:r>
      <w:r>
        <w:rPr>
          <w:rFonts w:ascii="Times New Roman" w:hAnsi="Times New Roman"/>
          <w:b w:val="false"/>
          <w:i/>
          <w:color w:val="000000"/>
          <w:sz w:val="22"/>
        </w:rPr>
        <w:t xml:space="preserve">Speech-language pathology (SLP)—prekindergarten through grade 12. </w:t>
      </w:r>
      <w:r>
        <w:rPr>
          <w:rFonts w:ascii="Times New Roman" w:hAnsi="Times New Roman"/>
          <w:b w:val="false"/>
          <w:i w:val="false"/>
          <w:color w:val="000000"/>
          <w:sz w:val="22"/>
        </w:rPr>
        <w:t>The SLP paraeducator will successfully complete the following list of competencies so that, under the direction and supervision of a qualified speech-language pathologist, the paraeducator will be able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Understand the roles and responsibilities of the SLP paraeducator.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Demonstrate a basic understanding of the four areas of communication, including articulation, language, fluency, and voice, and how they occur through typical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Demonstrate an understanding of articulation/phonological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Demonstrate an understanding of language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appropriate instructional procedures and reinforcement techniques when working with children with articulation/phonological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 appropriate instructional procedures and reinforcement techniques when working with children with language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Gather information as directed by the speech-language pathologist regarding the performance of children, including recording and charting responses.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24.3(7)</w:t>
      </w:r>
      <w:r>
        <w:rPr>
          <w:rFonts w:ascii="Times New Roman" w:hAnsi="Times New Roman"/>
          <w:b w:val="false"/>
          <w:i w:val="false"/>
          <w:color w:val="000000"/>
          <w:sz w:val="22"/>
        </w:rPr>
        <w:t> </w:t>
      </w:r>
      <w:r>
        <w:rPr>
          <w:rFonts w:ascii="Times New Roman" w:hAnsi="Times New Roman"/>
          <w:b w:val="false"/>
          <w:i/>
          <w:color w:val="000000"/>
          <w:sz w:val="22"/>
        </w:rPr>
        <w:t xml:space="preserve">Vision impairments—prekindergarten through grade 12. </w:t>
      </w:r>
      <w:r>
        <w:rPr>
          <w:rFonts w:ascii="Times New Roman" w:hAnsi="Times New Roman"/>
          <w:b w:val="false"/>
          <w:i w:val="false"/>
          <w:color w:val="000000"/>
          <w:sz w:val="22"/>
        </w:rPr>
        <w:t>Under the direction and supervision of a qualified classroom teacher, the paraeducator will successfully complete the following list of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Demonstrate knowledge of the impact of vision loss on learning and concept development for students who are blind or visually impaired.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 introductory knowledge of expanded core curriculum (ECC) and the ability to support ECC skills as directed by the supervising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 introductory knowledge of functional vision assessments (FVA) and learning media assessments (LMA) of students who have vision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Demonstrate knowledge of and skills in technology appropriate to the needs of students with vision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Operate and use assistive technology that supports students who have vision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 and strengthen each student’s capability to access and utilize assistive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Demonstrate introductory knowledge of instructional strategies unique to students who have vision impairments.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 the ability to adapt educational materials by using varied learning media as determined by student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 an introductory knowledge of Braille in relation to identified or expressed student needs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 introductory skills in operating transcription software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Demonstrate introductory knowledge of motor skills, movement, orientation, and mobility for students with vision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Demonstrate knowledge of the role of paraeducators in student plans, including IEPs and individualized family service plans (IFSPs).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Demonstrate knowledge about and skills in fostering independence, self-determination, social skills, self-advocacy, and appropriate behaviors for students with vision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Demonstrate professionalism and ethical practices, including appropriate communication skills in relation to students with vision impairments and the students’ service providers and families.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24.3(8)</w:t>
      </w:r>
      <w:r>
        <w:rPr>
          <w:rFonts w:ascii="Times New Roman" w:hAnsi="Times New Roman"/>
          <w:b w:val="false"/>
          <w:i w:val="false"/>
          <w:color w:val="000000"/>
          <w:sz w:val="22"/>
        </w:rPr>
        <w:t> </w:t>
      </w:r>
      <w:r>
        <w:rPr>
          <w:rFonts w:ascii="Times New Roman" w:hAnsi="Times New Roman"/>
          <w:b w:val="false"/>
          <w:i/>
          <w:color w:val="000000"/>
          <w:sz w:val="22"/>
        </w:rPr>
        <w:t xml:space="preserve">Autism spectrum disorders. </w:t>
      </w:r>
      <w:r>
        <w:rPr>
          <w:rFonts w:ascii="Times New Roman" w:hAnsi="Times New Roman"/>
          <w:b w:val="false"/>
          <w:i w:val="false"/>
          <w:color w:val="000000"/>
          <w:sz w:val="22"/>
        </w:rPr>
        <w:t>Under the direction and supervision of a qualified classroom teacher, the paraeducator will successfully complete the following list of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Foundations.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 an understanding of the components of education plans (IEP, behavior intervention plan (BIP), functional behavioral analysis (FBA), and Section 504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Identify common characteristics of students with autism spectrum disorder (communication, social, restricted interest and behavior) and how these characteristics compare to those of typical children.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Learning environment.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 in structuring the environment to meet the needs of students with autism spectrum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Implement with integrity schedules and educational programs prescribed by the licensed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and instruction.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Implement the educational, academic, and communication accommodations, adaptations, and supports assigned by a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opportunities for students with autism spectrum disorders to initiate and respond to large interactions and small interactions in academic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opportunities for students with autism spectrum disorders to initiate, respond to, and participate in interactions in large groups and small groups in authentic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Gather and maintain data on student academic performance as directed by a licensed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 educational staff in developing accommodations and adaptations and self-determination skills to increase student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Emotional and behavioral.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Understand and identify the function of a behavior (e.g., antecedents, behaviors,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 data on student behavior and related environmental stimuli, based on the concepts of antecedents, behaviors and consequences.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Implement antecedent strategies on student behavior as defined by the licensed educator.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Reinforce and practice replacement behaviors as defined by the licensed educator.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Respond to problem behaviors in a consistent manner as defined by the licensed educator.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Gather and maintain data on student social and behavioral performance as directed by a licensed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Professional relationships.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 the ability to support the viewpoints and perspectives of students with autism and be empathetic to the students’ learning styles.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Respond to challenging behaviors in a respectful, empathetic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Ethical and professional practice. </w:t>
      </w:r>
      <w:r>
        <w:rPr>
          <w:rFonts w:ascii="Times New Roman" w:hAnsi="Times New Roman"/>
          <w:b w:val="false"/>
          <w:i w:val="false"/>
          <w:color w:val="000000"/>
          <w:sz w:val="22"/>
        </w:rPr>
        <w:t>Under the supervision of a licensed education professional, the paraeducator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 and understand the expectations of confidentiality in regard to student information and social media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Know and understand the legal constructs of the IEP and the Individuals with Disabilities Education Act (IDEA).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24.3(9)</w:t>
      </w:r>
      <w:r>
        <w:rPr>
          <w:rFonts w:ascii="Times New Roman" w:hAnsi="Times New Roman"/>
          <w:b w:val="false"/>
          <w:i w:val="false"/>
          <w:color w:val="000000"/>
          <w:sz w:val="22"/>
        </w:rPr>
        <w:t> </w:t>
      </w:r>
      <w:r>
        <w:rPr>
          <w:rFonts w:ascii="Times New Roman" w:hAnsi="Times New Roman"/>
          <w:b w:val="false"/>
          <w:i/>
          <w:color w:val="000000"/>
          <w:sz w:val="22"/>
        </w:rPr>
        <w:t xml:space="preserve">Paraeducator substitute authorization. </w:t>
      </w:r>
      <w:r>
        <w:rPr>
          <w:rFonts w:ascii="Times New Roman" w:hAnsi="Times New Roman"/>
          <w:b w:val="false"/>
          <w:i w:val="false"/>
          <w:color w:val="000000"/>
          <w:sz w:val="22"/>
        </w:rPr>
        <w:t xml:space="preserve">An individual who holds a paraeducator certificate and completes the substitute authorization requirements set forth in rule </w:t>
      </w:r>
      <w:hyperlink r:id="rId5">
        <w:r>
          <w:rPr>
            <w:rStyle w:val="Hyperlink"/>
            <w:rFonts w:ascii="Times New Roman" w:hAnsi="Times New Roman"/>
            <w:b w:val="false"/>
            <w:i w:val="false"/>
            <w:color w:val="000000"/>
            <w:sz w:val="22"/>
          </w:rPr>
          <w:t>282—22.2</w:t>
        </w:r>
      </w:hyperlink>
      <w:r>
        <w:rPr>
          <w:rFonts w:ascii="Times New Roman" w:hAnsi="Times New Roman"/>
          <w:b w:val="false"/>
          <w:i w:val="false"/>
          <w:color w:val="000000"/>
          <w:sz w:val="22"/>
        </w:rPr>
        <w:t xml:space="preserve">(256) but who does not meet the degree requirement in </w:t>
      </w:r>
      <w:hyperlink r:id="rId6">
        <w:r>
          <w:rPr>
            <w:rStyle w:val="Hyperlink"/>
            <w:rFonts w:ascii="Times New Roman" w:hAnsi="Times New Roman"/>
            <w:b w:val="false"/>
            <w:i w:val="false"/>
            <w:color w:val="000000"/>
            <w:sz w:val="22"/>
          </w:rPr>
          <w:t>282—subparagraph 22.2(1)</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is authorized to substitute only in the special education classroom in which the individual paraeducator is employed unless emergency permission is granted by the executive director or designee based on documented need provided by the employer. The employer will make a good-faith effort to employ a substitute teacher who is not a paraeducator before requesting such emergency permission. A school district employing a paraeducator as a substitute pursuant to this subrule will compensate the person at the higher rate of either the school district’s substitute pay per diem or the hourly pay to which the paraeducator is otherwise entitled.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282—24.4</w:t>
      </w:r>
      <w:r>
        <w:rPr>
          <w:rFonts w:ascii="Times New Roman" w:hAnsi="Times New Roman"/>
          <w:b/>
          <w:i w:val="false"/>
          <w:color w:val="000000"/>
          <w:sz w:val="22"/>
        </w:rPr>
        <w:t xml:space="preserve">(256) </w:t>
      </w:r>
      <w:r>
        <w:rPr>
          <w:rFonts w:ascii="Times New Roman" w:hAnsi="Times New Roman"/>
          <w:b/>
          <w:i w:val="false"/>
          <w:color w:val="000000"/>
          <w:sz w:val="22"/>
        </w:rPr>
        <w:t xml:space="preserve">Prekindergarten through grade 12 advanced paraeducator certificate. </w:t>
      </w:r>
      <w:r>
        <w:rPr>
          <w:rFonts w:ascii="Times New Roman" w:hAnsi="Times New Roman"/>
          <w:b w:val="false"/>
          <w:i w:val="false"/>
          <w:color w:val="000000"/>
          <w:sz w:val="22"/>
        </w:rPr>
        <w:t>Applicants for the prekindergarten through grade 12 advanced paraeducator certificate will have met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Currently hold or have previously held an Iowa paraeducator generalist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24.4(2)</w:t>
      </w:r>
      <w:r>
        <w:rPr>
          <w:rFonts w:ascii="Times New Roman" w:hAnsi="Times New Roman"/>
          <w:b w:val="false"/>
          <w:i w:val="false"/>
          <w:color w:val="000000"/>
          <w:sz w:val="22"/>
        </w:rPr>
        <w:t> </w:t>
      </w:r>
      <w:r>
        <w:rPr>
          <w:rFonts w:ascii="Times New Roman" w:hAnsi="Times New Roman"/>
          <w:b w:val="false"/>
          <w:i w:val="false"/>
          <w:color w:val="000000"/>
          <w:sz w:val="22"/>
        </w:rPr>
        <w:t>Possess an associate’s degree or have earned 62 semester hours of college coursework. Degrees and semester hour credits will be completed through a college or university accredited by an institutional accrediting agency as recognized by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24.4(3)</w:t>
      </w:r>
      <w:r>
        <w:rPr>
          <w:rFonts w:ascii="Times New Roman" w:hAnsi="Times New Roman"/>
          <w:b w:val="false"/>
          <w:i w:val="false"/>
          <w:color w:val="000000"/>
          <w:sz w:val="22"/>
        </w:rPr>
        <w:t> </w:t>
      </w:r>
      <w:r>
        <w:rPr>
          <w:rFonts w:ascii="Times New Roman" w:hAnsi="Times New Roman"/>
          <w:b w:val="false"/>
          <w:i w:val="false"/>
          <w:color w:val="000000"/>
          <w:sz w:val="22"/>
        </w:rPr>
        <w:t>Complete a minimum of 2 semester hours of coursework involving at least 100 clock hours of a supervised practicum with children and youth. These 2 semester hours of practicum may be part of an associate’s degree or part of the earned 62 semester hours of college coursework.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8405B</w:t>
      </w:r>
      <w:r>
        <w:rPr>
          <w:rFonts w:ascii="Times New Roman" w:hAnsi="Times New Roman"/>
          <w:b w:val="false"/>
          <w:i w:val="false"/>
          <w:color w:val="000000"/>
          <w:sz w:val="21"/>
        </w:rPr>
        <w:t xml:space="preserve"> (Notice ARC 8117B, IAB 9/9/09)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9204B</w:t>
      </w:r>
      <w:r>
        <w:rPr>
          <w:rFonts w:ascii="Times New Roman" w:hAnsi="Times New Roman"/>
          <w:b w:val="false"/>
          <w:i w:val="false"/>
          <w:color w:val="000000"/>
          <w:sz w:val="21"/>
        </w:rPr>
        <w:t xml:space="preserve"> (Notice ARC 8960B, IAB 7/28/10)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1325C</w:t>
      </w:r>
      <w:r>
        <w:rPr>
          <w:rFonts w:ascii="Times New Roman" w:hAnsi="Times New Roman"/>
          <w:b w:val="false"/>
          <w:i w:val="false"/>
          <w:color w:val="000000"/>
          <w:sz w:val="21"/>
        </w:rPr>
        <w:t xml:space="preserve"> (Notice ARC 1233C, IAB 12/11/13)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2230C</w:t>
      </w:r>
      <w:r>
        <w:rPr>
          <w:rFonts w:ascii="Times New Roman" w:hAnsi="Times New Roman"/>
          <w:b w:val="false"/>
          <w:i w:val="false"/>
          <w:color w:val="000000"/>
          <w:sz w:val="21"/>
        </w:rPr>
        <w:t xml:space="preserve"> (Notice ARC 2130C, IAB 9/2/15)</w:t>
      </w:r>
      <w:r>
        <w:rPr>
          <w:rFonts w:ascii="Times New Roman" w:hAnsi="Times New Roman"/>
          <w:b w:val="false"/>
          <w:i w:val="false"/>
          <w:color w:val="000000"/>
          <w:sz w:val="21"/>
        </w:rPr>
        <w:t>, IAB 11/11/15, effective 12/16/15]</w:t>
      </w:r>
    </w:p>
    <w:p>
      <w:pPr>
        <w:spacing w:before="0" w:after="0"/>
        <w:ind w:left="120"/>
        <w:jc w:val="center"/>
      </w:pPr>
      <w:r>
        <w:rPr>
          <w:rFonts w:ascii="Times New Roman" w:hAnsi="Times New Roman"/>
          <w:b w:val="false"/>
          <w:i w:val="false"/>
          <w:color w:val="000000"/>
          <w:sz w:val="21"/>
        </w:rPr>
        <w:t>[Filed ARC 2529C</w:t>
      </w:r>
      <w:r>
        <w:rPr>
          <w:rFonts w:ascii="Times New Roman" w:hAnsi="Times New Roman"/>
          <w:b w:val="false"/>
          <w:i w:val="false"/>
          <w:color w:val="000000"/>
          <w:sz w:val="21"/>
        </w:rPr>
        <w:t xml:space="preserve"> (Notice ARC 2410C, IAB 2/17/16)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3197C</w:t>
      </w:r>
      <w:r>
        <w:rPr>
          <w:rFonts w:ascii="Times New Roman" w:hAnsi="Times New Roman"/>
          <w:b w:val="false"/>
          <w:i w:val="false"/>
          <w:color w:val="000000"/>
          <w:sz w:val="21"/>
        </w:rPr>
        <w:t xml:space="preserve"> (Notice ARC 3047C, IAB 5/10/17)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4634C</w:t>
      </w:r>
      <w:r>
        <w:rPr>
          <w:rFonts w:ascii="Times New Roman" w:hAnsi="Times New Roman"/>
          <w:b w:val="false"/>
          <w:i w:val="false"/>
          <w:color w:val="000000"/>
          <w:sz w:val="21"/>
        </w:rPr>
        <w:t xml:space="preserve"> (Notice ARC 4504C,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5303C</w:t>
      </w:r>
      <w:r>
        <w:rPr>
          <w:rFonts w:ascii="Times New Roman" w:hAnsi="Times New Roman"/>
          <w:b w:val="false"/>
          <w:i w:val="false"/>
          <w:color w:val="000000"/>
          <w:sz w:val="21"/>
        </w:rPr>
        <w:t xml:space="preserve"> (Notice ARC 5169C, IAB 9/9/20)</w:t>
      </w:r>
      <w:r>
        <w:rPr>
          <w:rFonts w:ascii="Times New Roman" w:hAnsi="Times New Roman"/>
          <w:b w:val="false"/>
          <w:i w:val="false"/>
          <w:color w:val="000000"/>
          <w:sz w:val="21"/>
        </w:rPr>
        <w:t>, IAB 12/2/20, effective 1/6/21]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5803C</w:t>
      </w:r>
      <w:r>
        <w:rPr>
          <w:rFonts w:ascii="Times New Roman" w:hAnsi="Times New Roman"/>
          <w:b w:val="false"/>
          <w:i w:val="false"/>
          <w:color w:val="000000"/>
          <w:sz w:val="21"/>
        </w:rPr>
        <w:t xml:space="preserve"> (Notice ARC 5665C, IAB 6/2/21)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Emergency ARC 6229C, IAB 3/9/22, effective 2/16/22]</w:t>
      </w:r>
    </w:p>
    <w:p>
      <w:pPr>
        <w:spacing w:before="0" w:after="0"/>
        <w:ind w:left="120"/>
        <w:jc w:val="center"/>
      </w:pPr>
      <w:r>
        <w:rPr>
          <w:rFonts w:ascii="Times New Roman" w:hAnsi="Times New Roman"/>
          <w:b w:val="false"/>
          <w:i w:val="false"/>
          <w:color w:val="000000"/>
          <w:sz w:val="21"/>
        </w:rPr>
        <w:t>[Filed ARC 6468C</w:t>
      </w:r>
      <w:r>
        <w:rPr>
          <w:rFonts w:ascii="Times New Roman" w:hAnsi="Times New Roman"/>
          <w:b w:val="false"/>
          <w:i w:val="false"/>
          <w:color w:val="000000"/>
          <w:sz w:val="21"/>
        </w:rPr>
        <w:t xml:space="preserve"> (Notice ARC 6228C, IAB 3/9/22)</w:t>
      </w:r>
      <w:r>
        <w:rPr>
          <w:rFonts w:ascii="Times New Roman" w:hAnsi="Times New Roman"/>
          <w:b w:val="false"/>
          <w:i w:val="false"/>
          <w:color w:val="000000"/>
          <w:sz w:val="21"/>
        </w:rPr>
        <w:t>, IAB 8/24/22, effective 9/28/22]</w:t>
      </w:r>
    </w:p>
    <w:p>
      <w:pPr>
        <w:spacing w:before="0" w:after="0"/>
        <w:ind w:left="120"/>
        <w:jc w:val="center"/>
      </w:pPr>
      <w:r>
        <w:rPr>
          <w:rFonts w:ascii="Times New Roman" w:hAnsi="Times New Roman"/>
          <w:b w:val="false"/>
          <w:i w:val="false"/>
          <w:color w:val="000000"/>
          <w:sz w:val="21"/>
        </w:rPr>
        <w:t>[Filed ARC 8822C</w:t>
      </w:r>
      <w:r>
        <w:rPr>
          <w:rFonts w:ascii="Times New Roman" w:hAnsi="Times New Roman"/>
          <w:b w:val="false"/>
          <w:i w:val="false"/>
          <w:color w:val="000000"/>
          <w:sz w:val="21"/>
        </w:rPr>
        <w:t xml:space="preserve"> (Notice ARC 8302C, IAB 10/30/24)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January 6, 2021, effective date of 24.4 [ARC 5303C, Item 3] delayed until the adjournment of the 2021 session of the General Assembly by the Administrative Rules Review Committee at its meeting held December 8, 2020.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2.22.2.pdf" Type="http://schemas.openxmlformats.org/officeDocument/2006/relationships/hyperlink" Id="rId5"/>
    <Relationship TargetMode="External" Target="https://www.legis.iowa.gov/docs/iac/rule/282.22.2.pdf" Type="http://schemas.openxmlformats.org/officeDocument/2006/relationships/hyperlink" Id="rId6"/>
    <Relationship TargetMode="External" Target="https://www.legis.iowa.gov/docs/ico/chapter/256.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