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LIMITED AUTHORIZATIONS</w:t>
      </w:r>
    </w:p>
    <w:p>
      <w:pPr>
        <w:spacing w:before="0" w:after="0"/>
        <w:ind w:left="120"/>
        <w:jc w:val="center"/>
      </w:pPr>
      <w:r>
        <w:rPr>
          <w:rFonts w:ascii="Times New Roman" w:hAnsi="Times New Roman"/>
          <w:b w:val="false"/>
          <w:i w:val="false"/>
          <w:color w:val="000000"/>
          <w:sz w:val="14"/>
        </w:rPr>
        <w:t>[Prior to 1/14/09, see Educational Examiners Board[282] Ch 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282—22.1</w:t>
      </w:r>
      <w:r>
        <w:rPr>
          <w:rFonts w:ascii="Times New Roman" w:hAnsi="Times New Roman"/>
          <w:b/>
          <w:i w:val="false"/>
          <w:color w:val="000000"/>
          <w:sz w:val="22"/>
        </w:rPr>
        <w:t xml:space="preserve">(256) </w:t>
      </w:r>
      <w:r>
        <w:rPr>
          <w:rFonts w:ascii="Times New Roman" w:hAnsi="Times New Roman"/>
          <w:b/>
          <w:i w:val="false"/>
          <w:color w:val="000000"/>
          <w:sz w:val="22"/>
        </w:rPr>
        <w:t xml:space="preserve">Coaching authorization. </w:t>
      </w:r>
      <w:r>
        <w:rPr>
          <w:rFonts w:ascii="Times New Roman" w:hAnsi="Times New Roman"/>
          <w:b w:val="false"/>
          <w:i w:val="false"/>
          <w:color w:val="000000"/>
          <w:sz w:val="22"/>
        </w:rPr>
        <w:t>A coaching authorization allows an individual to coach any sport in a middle school, junior high school, or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Applicants for the coaching authorization will have completed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the required coursework pursuant to Iowa Code section </w:t>
      </w:r>
      <w:hyperlink r:id="rId5">
        <w:r>
          <w:rPr>
            <w:rStyle w:val="Hyperlink"/>
            <w:rFonts w:ascii="Times New Roman" w:hAnsi="Times New Roman"/>
            <w:b w:val="false"/>
            <w:i w:val="false"/>
            <w:color w:val="000000"/>
            <w:sz w:val="22"/>
          </w:rPr>
          <w:t>256.165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certificate  of  concussion  training  approved  by  the  Iowa  high  school  athletic association or Iowa girls high school athletic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certificate of CPR training from an approved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age or diploma. </w:t>
      </w:r>
      <w:r>
        <w:rPr>
          <w:rFonts w:ascii="Times New Roman" w:hAnsi="Times New Roman"/>
          <w:b w:val="false"/>
          <w:i w:val="false"/>
          <w:color w:val="000000"/>
          <w:sz w:val="22"/>
        </w:rPr>
        <w:t>Applicants will have attained a minimum age of 18 years. Applicants will also possess a high school diploma or equivalent, home school completion as verified by the executive director, or be 20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The coaching authorization is valid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Transitional coaching authorization. </w:t>
      </w:r>
      <w:r>
        <w:rPr>
          <w:rFonts w:ascii="Times New Roman" w:hAnsi="Times New Roman"/>
          <w:b w:val="false"/>
          <w:i w:val="false"/>
          <w:color w:val="000000"/>
          <w:sz w:val="22"/>
        </w:rPr>
        <w:t xml:space="preserve">Applicants for the transitional coaching authorization will meet the requirements pursuant to Iowa Code section </w:t>
      </w:r>
      <w:hyperlink r:id="rId6">
        <w:r>
          <w:rPr>
            <w:rStyle w:val="Hyperlink"/>
            <w:rFonts w:ascii="Times New Roman" w:hAnsi="Times New Roman"/>
            <w:b w:val="false"/>
            <w:i w:val="false"/>
            <w:color w:val="000000"/>
            <w:sz w:val="22"/>
          </w:rPr>
          <w:t>256.165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282—22.2</w:t>
      </w:r>
      <w:r>
        <w:rPr>
          <w:rFonts w:ascii="Times New Roman" w:hAnsi="Times New Roman"/>
          <w:b/>
          <w:i w:val="false"/>
          <w:color w:val="000000"/>
          <w:sz w:val="22"/>
        </w:rPr>
        <w:t xml:space="preserve">(256) </w:t>
      </w:r>
      <w:r>
        <w:rPr>
          <w:rFonts w:ascii="Times New Roman" w:hAnsi="Times New Roman"/>
          <w:b/>
          <w:i w:val="false"/>
          <w:color w:val="000000"/>
          <w:sz w:val="22"/>
        </w:rPr>
        <w:t xml:space="preserve">Substitute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Applicants for the substitute authorization will meet the requirements pursuant to Iowa Code section </w:t>
      </w:r>
      <w:hyperlink r:id="rId7">
        <w:r>
          <w:rPr>
            <w:rStyle w:val="Hyperlink"/>
            <w:rFonts w:ascii="Times New Roman" w:hAnsi="Times New Roman"/>
            <w:b w:val="false"/>
            <w:i w:val="false"/>
            <w:color w:val="000000"/>
            <w:sz w:val="22"/>
          </w:rPr>
          <w:t>256.165</w:t>
        </w:r>
      </w:hyperlink>
      <w:r>
        <w:rPr>
          <w:rFonts w:ascii="Times New Roman" w:hAnsi="Times New Roman"/>
          <w:b w:val="false"/>
          <w:i w:val="false"/>
          <w:color w:val="000000"/>
          <w:sz w:val="22"/>
        </w:rPr>
        <w:t xml:space="preserve"> and complete an approved substitute authorization workshop consisting of the following components and totaling a minimum of 15 clock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Classroom management. This component includes an understanding of individual and group motivation and behavior to create a learning environment that encourages positive social interaction, active engagement in learning, and self-motivation.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Strategies for learning. This component includes understanding and using a variety of learning strategies to encourage students’ development of critical thinking, problem solving, and performance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Diversity. This component includes understanding how students differ in their approaches to learning and creating learning opportunities that are equitable and are adaptable to diverse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Ethics. This component includes fostering relationships with parents, school colleagues, and organizations in the larger community to support students’ learning and development and to be aware of the board’s rules of professional practice and competent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 xml:space="preserve">The substitute authorization is valid for five years.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282—22.3</w:t>
      </w:r>
      <w:r>
        <w:rPr>
          <w:rFonts w:ascii="Times New Roman" w:hAnsi="Times New Roman"/>
          <w:b/>
          <w:i w:val="false"/>
          <w:color w:val="000000"/>
          <w:sz w:val="22"/>
        </w:rPr>
        <w:t xml:space="preserve">(256) </w:t>
      </w:r>
      <w:r>
        <w:rPr>
          <w:rFonts w:ascii="Times New Roman" w:hAnsi="Times New Roman"/>
          <w:b/>
          <w:i w:val="false"/>
          <w:color w:val="000000"/>
          <w:sz w:val="22"/>
        </w:rPr>
        <w:t xml:space="preserve">Career and technical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initial career and technical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will meet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6,000 hours of recent and relevant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4,000 hours of recent and relevant experience if the applicant holds a baccalaureate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3,000 hours of recent and relevant experience if the applicant holds an associate’s degree in the teaching endorsement area sought, if such a degree is considered terminal for that field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 a baccalaureate or graduate degree or closely related degree in the teaching endorsement area sought;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Hold a baccalaureate degree in any area of study if at least 18 of the credit hours were completed in the teaching endorsement area sought.</w:t>
      </w:r>
    </w:p>
    <w:p>
      <w:pPr>
        <w:spacing w:before="0" w:after="0"/>
        <w:ind w:left="120"/>
        <w:jc w:val="both"/>
      </w:pPr>
      <w:r>
        <w:rPr>
          <w:rFonts w:ascii="Times New Roman" w:hAnsi="Times New Roman"/>
          <w:b w:val="false"/>
          <w:i w:val="false"/>
          <w:color w:val="000000"/>
          <w:sz w:val="22"/>
        </w:rPr>
        <w:t>For a career and technical cluster endorsement, an applicant will meet one of the above qualifications and have at least 2,000 hours of recent and relevant experience or nine semester hours each in two additional areas within the cluster endorsement. Combinations of experience and education may be approved by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Recent and relevant experience will have been accrued within the ten years prior to the date of application. Experience that does not meet these criteria may be considered at the discretion of the executive director. In subjects for which state registration, certification or licensure is required, the applicant will hold the appropriate license, registration or certificate before the initial career and technical secondary authorization or the career and technical secondary authorization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the term of the initial authorization, the applicant will complete board-approved training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Coursework in the methods and techniques of career and technical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Coursework in course and curriculum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Coursework in the measurement and evaluation of programs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approved human relations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Coursework in the instruction of exceptional learners to include the education of individuals with disabilities and the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Ethics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be assigned a mentor by the hiring school district.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color w:val="000000"/>
          <w:sz w:val="22"/>
        </w:rPr>
        <w:t xml:space="preserve">Validity—initial authorization. </w:t>
      </w:r>
      <w:r>
        <w:rPr>
          <w:rFonts w:ascii="Times New Roman" w:hAnsi="Times New Roman"/>
          <w:b w:val="false"/>
          <w:i w:val="false"/>
          <w:color w:val="000000"/>
          <w:sz w:val="22"/>
        </w:rPr>
        <w:t>The initial authorization is valid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career and technical authorization. </w:t>
      </w:r>
      <w:r>
        <w:rPr>
          <w:rFonts w:ascii="Times New Roman" w:hAnsi="Times New Roman"/>
          <w:b w:val="false"/>
          <w:i w:val="false"/>
          <w:color w:val="000000"/>
          <w:sz w:val="22"/>
        </w:rPr>
        <w:t xml:space="preserve">The initial career and technical authorization may be converted to the career and technical authorization if the applicant completes the required coursework set forth in paragraph </w:t>
      </w:r>
      <w:r>
        <w:rPr>
          <w:rFonts w:ascii="Times New Roman" w:hAnsi="Times New Roman"/>
          <w:b w:val="false"/>
          <w:i w:val="false"/>
          <w:color w:val="000000"/>
          <w:sz w:val="22"/>
        </w:rPr>
        <w:t>22.3(1)</w:t>
      </w:r>
      <w:r>
        <w:rPr>
          <w:rFonts w:ascii="Times New Roman" w:hAnsi="Times New Roman"/>
          <w:b w:val="false"/>
          <w:i/>
          <w:color w:val="000000"/>
          <w:sz w:val="22"/>
        </w:rPr>
        <w:t>“c.”</w:t>
      </w:r>
      <w:r>
        <w:rPr>
          <w:rFonts w:ascii="Times New Roman" w:hAnsi="Times New Roman"/>
          <w:b w:val="false"/>
          <w:i w:val="false"/>
          <w:color w:val="000000"/>
          <w:sz w:val="22"/>
        </w:rPr>
        <w:t xml:space="preserve"> This authorization is valid for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282—22.4</w:t>
      </w:r>
      <w:r>
        <w:rPr>
          <w:rFonts w:ascii="Times New Roman" w:hAnsi="Times New Roman"/>
          <w:b/>
          <w:i w:val="false"/>
          <w:color w:val="000000"/>
          <w:sz w:val="22"/>
        </w:rPr>
        <w:t xml:space="preserve">(256) </w:t>
      </w:r>
      <w:r>
        <w:rPr>
          <w:rFonts w:ascii="Times New Roman" w:hAnsi="Times New Roman"/>
          <w:b/>
          <w:i w:val="false"/>
          <w:color w:val="000000"/>
          <w:sz w:val="22"/>
        </w:rPr>
        <w:t xml:space="preserve">Native language teacher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an initial native language teacher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have completed a baccalaureate degree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a recommendation from a school administrator verifying that the school wishes to hire the applicant. Before the applicant is hired, the school administrator will verify that a diligent search was completed to hire a fully licensed teacher for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verification of successfully passing an approved language assessment by meeting the minimum score set by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During the term of the initial authorization, the applicant will complete board-approved training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Methods of teaching a world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Coursework in human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Coursework in the instruction of exceptional learners to include the education of individuals with disabilities and the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Ethics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will be assigned a mentor by the hiring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Validity—initial authorization. </w:t>
      </w:r>
      <w:r>
        <w:rPr>
          <w:rFonts w:ascii="Times New Roman" w:hAnsi="Times New Roman"/>
          <w:b w:val="false"/>
          <w:i w:val="false"/>
          <w:color w:val="000000"/>
          <w:sz w:val="22"/>
        </w:rPr>
        <w:t>The initial authorization is valid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native language teacher authorization. </w:t>
      </w:r>
      <w:r>
        <w:rPr>
          <w:rFonts w:ascii="Times New Roman" w:hAnsi="Times New Roman"/>
          <w:b w:val="false"/>
          <w:i w:val="false"/>
          <w:color w:val="000000"/>
          <w:sz w:val="22"/>
        </w:rPr>
        <w:t xml:space="preserve">The initial native language teaching authorization may be converted to the native language teaching authorization if the applicant completes the required coursework set forth in paragraph </w:t>
      </w:r>
      <w:r>
        <w:rPr>
          <w:rFonts w:ascii="Times New Roman" w:hAnsi="Times New Roman"/>
          <w:b w:val="false"/>
          <w:i w:val="false"/>
          <w:color w:val="000000"/>
          <w:sz w:val="22"/>
        </w:rPr>
        <w:t>22.4(1)</w:t>
      </w:r>
      <w:r>
        <w:rPr>
          <w:rFonts w:ascii="Times New Roman" w:hAnsi="Times New Roman"/>
          <w:b w:val="false"/>
          <w:i/>
          <w:color w:val="000000"/>
          <w:sz w:val="22"/>
        </w:rPr>
        <w:t>“d.”</w:t>
      </w:r>
      <w:r>
        <w:rPr>
          <w:rFonts w:ascii="Times New Roman" w:hAnsi="Times New Roman"/>
          <w:b w:val="false"/>
          <w:i w:val="false"/>
          <w:color w:val="000000"/>
          <w:sz w:val="22"/>
        </w:rPr>
        <w:t xml:space="preserve"> This authorization is valid for five years.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282—22.5</w:t>
      </w:r>
      <w:r>
        <w:rPr>
          <w:rFonts w:ascii="Times New Roman" w:hAnsi="Times New Roman"/>
          <w:b/>
          <w:i w:val="false"/>
          <w:color w:val="000000"/>
          <w:sz w:val="22"/>
        </w:rPr>
        <w:t xml:space="preserve">(256) </w:t>
      </w:r>
      <w:r>
        <w:rPr>
          <w:rFonts w:ascii="Times New Roman" w:hAnsi="Times New Roman"/>
          <w:b/>
          <w:i w:val="false"/>
          <w:color w:val="000000"/>
          <w:sz w:val="22"/>
        </w:rPr>
        <w:t xml:space="preserve">Content specialist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initial content specialist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have completed a master’s degree or higher in an endorsement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a recommendation from a school administrator verifying that the school wishes to hire the applicant. Before the applicant is hired, the school administrator will verify that a diligent search was completed to hire a fully licensed teacher for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the term of the initial authorization, the applicant will complete board-approved training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Methods of teaching in the endorsement content area or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Coursework in human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Coursework in the instruction of exceptional learners to include the education of individuals with disabilities and the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Ethics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be assigned a mentor by the hiring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Validity—initial authorization. </w:t>
      </w:r>
      <w:r>
        <w:rPr>
          <w:rFonts w:ascii="Times New Roman" w:hAnsi="Times New Roman"/>
          <w:b w:val="false"/>
          <w:i w:val="false"/>
          <w:color w:val="000000"/>
          <w:sz w:val="22"/>
        </w:rPr>
        <w:t>The initial authorization is valid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content specialist authorization. </w:t>
      </w:r>
      <w:r>
        <w:rPr>
          <w:rFonts w:ascii="Times New Roman" w:hAnsi="Times New Roman"/>
          <w:b w:val="false"/>
          <w:i w:val="false"/>
          <w:color w:val="000000"/>
          <w:sz w:val="22"/>
        </w:rPr>
        <w:t xml:space="preserve">The initial content specialist authorization may be converted to the content specialist authorization if the applicant has completed the required coursework set forth in paragraph </w:t>
      </w:r>
      <w:r>
        <w:rPr>
          <w:rFonts w:ascii="Times New Roman" w:hAnsi="Times New Roman"/>
          <w:b w:val="false"/>
          <w:i w:val="false"/>
          <w:color w:val="000000"/>
          <w:sz w:val="22"/>
        </w:rPr>
        <w:t>22.5(1)</w:t>
      </w:r>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282—22.6</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business official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an initial school business official authorization. </w:t>
      </w:r>
      <w:r>
        <w:rPr>
          <w:rFonts w:ascii="Times New Roman" w:hAnsi="Times New Roman"/>
          <w:b w:val="false"/>
          <w:i w:val="false"/>
          <w:color w:val="000000"/>
          <w:sz w:val="22"/>
        </w:rPr>
        <w:t>Applicants for an initial school business official authorization will have completed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Applicants will have a minimum of an associate’s degree in business or accounting or 60 semester hours of coursework in business or accounting, of which nine semester hours will be in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Temporary school business official authorization. </w:t>
      </w:r>
      <w:r>
        <w:rPr>
          <w:rFonts w:ascii="Times New Roman" w:hAnsi="Times New Roman"/>
          <w:b w:val="false"/>
          <w:i w:val="false"/>
          <w:color w:val="000000"/>
          <w:sz w:val="22"/>
        </w:rPr>
        <w:t>If the applicant has not completed nine semester hours in accounting but has completed six or more semester hours in accounting, the applicant may be issued a temporary school business official authorization valid for one year, and an administrator will file a written request for an exception to the minimum content requirements on the basis of documented need and benefit to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nine semester hours of accounting are not completed within the time allowed, the applicant will not be eligible for the initial school business official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received a temporary school business official authorization, then the initial school business official authorization will not exceed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 standard school business official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will complete 9 semester hours or the equivalent (1 semester hour is equivalent to 15 contact hours) in an approved program in the following areas/competencies: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Generally accepted accounting principle concepts: fund accounting, account codes, Uniform Financial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Accounting cycles: budgets, payroll/benefits, purchasing/inventory, cash, receipts, disbursements, financial reporting, investments.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Technology: management of accounting systems, proficiency in understanding and use of systems technology and related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Regulatory: Uniform Administrative Procedures Manual, school policies and procedures, administrative procedures, public records law, records management, school law, employment law, construction and bidding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Personal skills: effective communication and interpersonal skills, ethical conduct, information management, ability to analyze and evaluate, ability to recognize and safeguard confidential information, accurate and timely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will demonstrate completion of or competency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board of educational examiners ethics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mentoring program as described in </w:t>
      </w:r>
      <w:hyperlink r:id="rId8">
        <w:r>
          <w:rPr>
            <w:rStyle w:val="Hyperlink"/>
            <w:rFonts w:ascii="Times New Roman" w:hAnsi="Times New Roman"/>
            <w:b w:val="false"/>
            <w:i w:val="false"/>
            <w:color w:val="000000"/>
            <w:sz w:val="22"/>
          </w:rPr>
          <w:t>281—Chapter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promotion of the value of the school business official’s fiduciary responsibility to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The initial school business official authorization is valid for two years. The standard school business official authorization is valid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282—22.7</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administration manager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authorization. </w:t>
      </w:r>
      <w:r>
        <w:rPr>
          <w:rFonts w:ascii="Times New Roman" w:hAnsi="Times New Roman"/>
          <w:b w:val="false"/>
          <w:i w:val="false"/>
          <w:color w:val="000000"/>
          <w:sz w:val="22"/>
        </w:rPr>
        <w:t>The following persons will obtain an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Model 1 school administration manager (SAM): a person who is hired to be a full-time SAM and who is authorized to assume the responsibilities of a SAM;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Model 2 SAM: a person whose position in the school is reconfigured to include the responsibilities of being a SAM and is authorized as a SAM;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Model 3 SAM: a person who is a secretary/administrative assistant and is also authorized as a SAM.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 xml:space="preserve">A SAM authorization allows an individual to assist a school administrator in performing noninstructional, administrative-type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an initial SAM authorization. </w:t>
      </w:r>
      <w:r>
        <w:rPr>
          <w:rFonts w:ascii="Times New Roman" w:hAnsi="Times New Roman"/>
          <w:b w:val="false"/>
          <w:i w:val="false"/>
          <w:color w:val="000000"/>
          <w:sz w:val="22"/>
        </w:rPr>
        <w:t>Applicants will hold a high school degree or general equivalency diploma. The application will also include verification of employment from a school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 standard SAM authorization. </w:t>
      </w:r>
      <w:r>
        <w:rPr>
          <w:rFonts w:ascii="Times New Roman" w:hAnsi="Times New Roman"/>
          <w:b w:val="false"/>
          <w:i w:val="false"/>
          <w:color w:val="000000"/>
          <w:sz w:val="22"/>
        </w:rPr>
        <w:t>The initial SAM authorization will be converted to the standard SAM authorization, provided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 xml:space="preserve">A SAM will attend an approved training program at the onset of the individual’s hire as a SAM. The training for SAMs is set forth in </w:t>
      </w:r>
      <w:hyperlink r:id="rId9">
        <w:r>
          <w:rPr>
            <w:rStyle w:val="Hyperlink"/>
            <w:rFonts w:ascii="Times New Roman" w:hAnsi="Times New Roman"/>
            <w:b w:val="false"/>
            <w:i w:val="false"/>
            <w:color w:val="000000"/>
            <w:sz w:val="22"/>
          </w:rPr>
          <w:t>281—subrule 82.7(2)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Experience. </w:t>
      </w:r>
      <w:r>
        <w:rPr>
          <w:rFonts w:ascii="Times New Roman" w:hAnsi="Times New Roman"/>
          <w:b w:val="false"/>
          <w:i w:val="false"/>
          <w:color w:val="000000"/>
          <w:sz w:val="22"/>
        </w:rPr>
        <w:t>An applicant will complete one year of experience as a SAM in an Iowa school. The supervising administrator will verify this experience and the applicant’s completion of the required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Competencies. </w:t>
      </w:r>
      <w:r>
        <w:rPr>
          <w:rFonts w:ascii="Times New Roman" w:hAnsi="Times New Roman"/>
          <w:b w:val="false"/>
          <w:i w:val="false"/>
          <w:color w:val="000000"/>
          <w:sz w:val="22"/>
        </w:rPr>
        <w:t>Applicants will demonstrate completion of or competency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SAM will demonstrate competence in technology appropriate to the SAM position. The SAM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Become proficient in the use of the approved time-tracking software tool;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Schedule the administrator’s time using the approved software, update and reconcile the calendar daily, and attempt to pre-calendar the administrator at or above the administrator’s goal;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Regularly schedule, review, and reflect with the administrator on the graphs and data provided through the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SAM will demonstrate appropriate personal skills. The SAM: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an effective communicator with all stakeholders, including but not limited to colleagues, community members, parents,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Works effectively with employees, students, and stakeholders;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Maintains confidentiality when dealing with student, parent, and staff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Clearly understands the administrator’s philosophy of behavior expectations and consequences;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Maintains an environment of mutual respect, rapport, and fairness.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The initial SAM authorization is valid for three years. The standard SAM authorization is valid for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282—22.8</w:t>
      </w:r>
      <w:r>
        <w:rPr>
          <w:rFonts w:ascii="Times New Roman" w:hAnsi="Times New Roman"/>
          <w:b/>
          <w:i w:val="false"/>
          <w:color w:val="000000"/>
          <w:sz w:val="22"/>
        </w:rPr>
        <w:t xml:space="preserve">(256) </w:t>
      </w:r>
      <w:r>
        <w:rPr>
          <w:rFonts w:ascii="Times New Roman" w:hAnsi="Times New Roman"/>
          <w:b/>
          <w:i w:val="false"/>
          <w:color w:val="000000"/>
          <w:sz w:val="22"/>
        </w:rPr>
        <w:t xml:space="preserve">Activities administration authorization. </w:t>
      </w:r>
      <w:r>
        <w:rPr>
          <w:rFonts w:ascii="Times New Roman" w:hAnsi="Times New Roman"/>
          <w:b w:val="false"/>
          <w:i w:val="false"/>
          <w:color w:val="000000"/>
          <w:sz w:val="22"/>
        </w:rPr>
        <w:t>An activities administration authorization allows an individual to administer any student activity program in a K-12 school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Applicants for the activities administration authorization will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Degree. </w:t>
      </w:r>
      <w:r>
        <w:rPr>
          <w:rFonts w:ascii="Times New Roman" w:hAnsi="Times New Roman"/>
          <w:b w:val="false"/>
          <w:i w:val="false"/>
          <w:color w:val="000000"/>
          <w:sz w:val="22"/>
        </w:rPr>
        <w:t>A baccalaureate degree or higher related to athletics, physical education or a related field is required. Additional degree areas may be considered at the discretion of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Credit hours. </w:t>
      </w:r>
      <w:r>
        <w:rPr>
          <w:rFonts w:ascii="Times New Roman" w:hAnsi="Times New Roman"/>
          <w:b w:val="false"/>
          <w:i w:val="false"/>
          <w:color w:val="000000"/>
          <w:sz w:val="22"/>
        </w:rPr>
        <w:t>Applicants will complete credit hours or courses offered by the Leadership Training Institute (LTI) from the National Interscholastic Athletic Administrators Association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1 semester credit hour or LTI course relating to knowledge and understanding of risk management, Title IX, sexual harassment, hazing, Americans with Disabilities Act (ADA), and employment law as they pertain to the role of the activities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1 semester credit hour or LTI course relating to knowledge and understanding of activities administration foundations including philosophy, leadership, professional programs and activities administration principles, strategies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1 semester credit hour or LTI course relating to knowledge and understanding of the role of the activities director in supporting and developing sports medicine programs, management of athletic player equipment, concussion assessment and proper fitting of athletic protective equipment, and sports field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1 semester credit hour or LTI course relating to knowledge and understanding of the techniques and theory of coaching concepts and strategies for interscholastic budget and concepts and strategies for interscholastic fundraising.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1 semester credit hour or LTI course, approved by the board, relating to the assessment and evaluation of interscholastic athletic programs and personnel, dealing with challenging personalities, and administration of professional growth programs for interscholastic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concussion training approved by the Iowa high school athletic association or Iowa girls high school athletic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The activities administration authorization is valid for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282—22.9</w:t>
      </w:r>
      <w:r>
        <w:rPr>
          <w:rFonts w:ascii="Times New Roman" w:hAnsi="Times New Roman"/>
          <w:b/>
          <w:i w:val="false"/>
          <w:color w:val="000000"/>
          <w:sz w:val="22"/>
        </w:rPr>
        <w:t xml:space="preserve">(256) </w:t>
      </w:r>
      <w:r>
        <w:rPr>
          <w:rFonts w:ascii="Times New Roman" w:hAnsi="Times New Roman"/>
          <w:b/>
          <w:i w:val="false"/>
          <w:color w:val="000000"/>
          <w:sz w:val="22"/>
        </w:rPr>
        <w:t xml:space="preserve">Charter school administrator authorization. </w:t>
      </w:r>
      <w:r>
        <w:rPr>
          <w:rFonts w:ascii="Times New Roman" w:hAnsi="Times New Roman"/>
          <w:b w:val="false"/>
          <w:i w:val="false"/>
          <w:color w:val="000000"/>
          <w:sz w:val="22"/>
        </w:rPr>
        <w:t>The charter school administrator authorization is only valid for service or employment as a charter school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initial charter school administrator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a recommendation from an Iowa charter school governing board verifying that the organization wishes to hire the applicant as a charter school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provide verification of completion of child abuse training as stated in </w:t>
      </w:r>
      <w:hyperlink r:id="rId10">
        <w:r>
          <w:rPr>
            <w:rStyle w:val="Hyperlink"/>
            <w:rFonts w:ascii="Times New Roman" w:hAnsi="Times New Roman"/>
            <w:b w:val="false"/>
            <w:i w:val="false"/>
            <w:color w:val="000000"/>
            <w:sz w:val="22"/>
          </w:rPr>
          <w:t>282—subrule 20.1(2)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color w:val="000000"/>
          <w:sz w:val="22"/>
        </w:rPr>
        <w:t xml:space="preserve">Validity—initial authorization. </w:t>
      </w:r>
      <w:r>
        <w:rPr>
          <w:rFonts w:ascii="Times New Roman" w:hAnsi="Times New Roman"/>
          <w:b w:val="false"/>
          <w:i w:val="false"/>
          <w:color w:val="000000"/>
          <w:sz w:val="22"/>
        </w:rPr>
        <w:t>The initial charter school administrator authorization is valid for one year. No additional endorsement areas may be added to the initial charter school administrator authorization, with the exception of evaluator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initial charter school administrator authorization may be renewed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22.9(4)</w:t>
      </w:r>
      <w:r>
        <w:rPr>
          <w:rFonts w:ascii="Times New Roman" w:hAnsi="Times New Roman"/>
          <w:b w:val="false"/>
          <w:i w:val="false"/>
          <w:color w:val="000000"/>
          <w:sz w:val="22"/>
        </w:rPr>
        <w:t> </w:t>
      </w:r>
      <w:r>
        <w:rPr>
          <w:rFonts w:ascii="Times New Roman" w:hAnsi="Times New Roman"/>
          <w:b w:val="false"/>
          <w:i/>
          <w:color w:val="000000"/>
          <w:sz w:val="22"/>
        </w:rPr>
        <w:t xml:space="preserve">Conversion. </w:t>
      </w:r>
      <w:r>
        <w:rPr>
          <w:rFonts w:ascii="Times New Roman" w:hAnsi="Times New Roman"/>
          <w:b w:val="false"/>
          <w:i w:val="false"/>
          <w:color w:val="000000"/>
          <w:sz w:val="22"/>
        </w:rPr>
        <w:t>The initial charter school administrator authorization may be converted to a charter school administrator authorization if the applicant has met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an approved code of professional conduct and ethics training. The training will be completed after the issuance of the initial authorization and no more than three years prior to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of an approved evaluator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Recommendation from an Iowa charter school governing board verifying that the organization wishes to retain the applicant as a charter school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charter school administrator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charter school administrator authorization is valid for five years. No additional endorsement areas may be added to the charter school administrator authorization, with the exception of evaluator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this authorization will first meet the requirements for the initial charter school administrator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282—22.10</w:t>
      </w:r>
      <w:r>
        <w:rPr>
          <w:rFonts w:ascii="Times New Roman" w:hAnsi="Times New Roman"/>
          <w:b/>
          <w:i w:val="false"/>
          <w:color w:val="000000"/>
          <w:sz w:val="22"/>
        </w:rPr>
        <w:t xml:space="preserve">(256) </w:t>
      </w:r>
      <w:r>
        <w:rPr>
          <w:rFonts w:ascii="Times New Roman" w:hAnsi="Times New Roman"/>
          <w:b/>
          <w:i w:val="false"/>
          <w:color w:val="000000"/>
          <w:sz w:val="22"/>
        </w:rPr>
        <w:t xml:space="preserve">Iowa jobs for America’s graduates (iJAG) authorization. </w:t>
      </w:r>
      <w:r>
        <w:rPr>
          <w:rFonts w:ascii="Times New Roman" w:hAnsi="Times New Roman"/>
          <w:b w:val="false"/>
          <w:i w:val="false"/>
          <w:color w:val="000000"/>
          <w:sz w:val="22"/>
        </w:rPr>
        <w:t>The iJAG authorization allows individuals to teach iJAG coursework in grades 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have completed a baccalaureate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have completed a board of educational examiners-approved iJAG training program consisting of the following components and totaling a minimum of 40 clock hours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Instructional methods. Develop skills to effectively deliver project-based instruction in the iJAG core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Curriculum. Develop skills to effectively develop curriculum, projects and other educational opportunities consistent with the goals of iJAG.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Measurement and evaluation of programs and students. Analyze student data, administer testing, and monitor the following: basic skills, individualized development plans, attendance, graduation requirements, and course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Code of ethics. Develop an understanding of how to foster relationships with parents, students, school colleagues, and organizations in the larger community to support students’ learning and development and become aware of the board’s rules of professional practice and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Diversity training for educators. Develop an understanding of and sensitivity to the values, beliefs, lifestyles and attitudes of individuals and the diverse groups found in a pluralistic society, including preparation that contributes to the education of individuals with disabilities and the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a recommendation from an iJAG administrator verifying that the organization wishes to hire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be assigned a mentor by the hiring school district.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This authorization is valid for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282—22.11</w:t>
      </w:r>
      <w:r>
        <w:rPr>
          <w:rFonts w:ascii="Times New Roman" w:hAnsi="Times New Roman"/>
          <w:b/>
          <w:i w:val="false"/>
          <w:color w:val="000000"/>
          <w:sz w:val="22"/>
        </w:rPr>
        <w:t xml:space="preserve">(256) </w:t>
      </w:r>
      <w:r>
        <w:rPr>
          <w:rFonts w:ascii="Times New Roman" w:hAnsi="Times New Roman"/>
          <w:b/>
          <w:i w:val="false"/>
          <w:color w:val="000000"/>
          <w:sz w:val="22"/>
        </w:rPr>
        <w:t xml:space="preserve">Work-based learning program supervisor authorization. </w:t>
      </w:r>
      <w:r>
        <w:rPr>
          <w:rFonts w:ascii="Times New Roman" w:hAnsi="Times New Roman"/>
          <w:b w:val="false"/>
          <w:i w:val="false"/>
          <w:color w:val="000000"/>
          <w:sz w:val="22"/>
        </w:rPr>
        <w:t>The work-based learning program supervisor authorization is only valid for service or employment as a work-based learning program supervisor in grades 9-12.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work-based learning program supervisor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provide verification of completion of the approved work-based learning program supervisor course pursuant to Iowa Code section </w:t>
      </w:r>
      <w:hyperlink r:id="rId11">
        <w:r>
          <w:rPr>
            <w:rStyle w:val="Hyperlink"/>
            <w:rFonts w:ascii="Times New Roman" w:hAnsi="Times New Roman"/>
            <w:b w:val="false"/>
            <w:i w:val="false"/>
            <w:color w:val="000000"/>
            <w:sz w:val="22"/>
          </w:rPr>
          <w:t>256.161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provide verification of completion of child abuse training as stated in </w:t>
      </w:r>
      <w:hyperlink r:id="rId12">
        <w:r>
          <w:rPr>
            <w:rStyle w:val="Hyperlink"/>
            <w:rFonts w:ascii="Times New Roman" w:hAnsi="Times New Roman"/>
            <w:b w:val="false"/>
            <w:i w:val="false"/>
            <w:color w:val="000000"/>
            <w:sz w:val="22"/>
          </w:rPr>
          <w:t>282—subrule 20.1(2)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The work-based learning program supervisor authorization is valid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22.11(3)</w:t>
      </w:r>
      <w:r>
        <w:rPr>
          <w:rFonts w:ascii="Times New Roman" w:hAnsi="Times New Roman"/>
          <w:b w:val="false"/>
          <w:i w:val="false"/>
          <w:color w:val="000000"/>
          <w:sz w:val="22"/>
        </w:rPr>
        <w:t> </w:t>
      </w:r>
      <w:r>
        <w:rPr>
          <w:rFonts w:ascii="Times New Roman" w:hAnsi="Times New Roman"/>
          <w:b w:val="false"/>
          <w:i/>
          <w:color w:val="000000"/>
          <w:sz w:val="22"/>
        </w:rPr>
        <w:t xml:space="preserve">Temporary authorization. </w:t>
      </w:r>
      <w:r>
        <w:rPr>
          <w:rFonts w:ascii="Times New Roman" w:hAnsi="Times New Roman"/>
          <w:b w:val="false"/>
          <w:i w:val="false"/>
          <w:color w:val="000000"/>
          <w:sz w:val="22"/>
        </w:rPr>
        <w:t>A one-year temporary work-based learning program supervisor authorization may be issued to applicants who have met all other requirements with the exception of the work-based learning program supervisor course. This temporary authorization is nonrenewable and cannot be extended.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282—22.12</w:t>
      </w:r>
      <w:r>
        <w:rPr>
          <w:rFonts w:ascii="Times New Roman" w:hAnsi="Times New Roman"/>
          <w:b/>
          <w:i w:val="false"/>
          <w:color w:val="000000"/>
          <w:sz w:val="22"/>
        </w:rPr>
        <w:t xml:space="preserve">(256) </w:t>
      </w:r>
      <w:r>
        <w:rPr>
          <w:rFonts w:ascii="Times New Roman" w:hAnsi="Times New Roman"/>
          <w:b/>
          <w:i w:val="false"/>
          <w:color w:val="000000"/>
          <w:sz w:val="22"/>
        </w:rPr>
        <w:t xml:space="preserve">Orientation and mobility authorization. </w:t>
      </w:r>
      <w:r>
        <w:rPr>
          <w:rFonts w:ascii="Times New Roman" w:hAnsi="Times New Roman"/>
          <w:b w:val="false"/>
          <w:i w:val="false"/>
          <w:color w:val="000000"/>
          <w:sz w:val="22"/>
        </w:rPr>
        <w:t>The holder of this authorization may teach pupils with a visual impairment, including those pupils who are deaf-blind.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w:t>
      </w:r>
      <w:r>
        <w:rPr>
          <w:rFonts w:ascii="Times New Roman" w:hAnsi="Times New Roman"/>
          <w:b w:val="false"/>
          <w:i w:val="false"/>
          <w:color w:val="000000"/>
          <w:sz w:val="22"/>
        </w:rPr>
        <w:t> </w:t>
      </w:r>
      <w:r>
        <w:rPr>
          <w:rFonts w:ascii="Times New Roman" w:hAnsi="Times New Roman"/>
          <w:b w:val="false"/>
          <w:i/>
          <w:color w:val="000000"/>
          <w:sz w:val="22"/>
        </w:rPr>
        <w:t xml:space="preserve">Initial orientation and mobility authorization. </w:t>
      </w:r>
      <w:r>
        <w:rPr>
          <w:rFonts w:ascii="Times New Roman" w:hAnsi="Times New Roman"/>
          <w:b w:val="false"/>
          <w:i w:val="false"/>
          <w:color w:val="000000"/>
          <w:sz w:val="22"/>
        </w:rPr>
        <w:t>An applicant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baccalaureate or master’s degree from an approved state program in orientation and mobility or equivalent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completed an approved human relations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completed the exceptional learner program, which will include preparation that contributes to the education of students with disabilities and students who are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completed a minimum of 21 semester credit hours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aspects of blindness and visual impairment, including sensory motor.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Psychosocial aspects of blindness and visual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Concept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History of orientation and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Foundations of orientation and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Orientation and mobility instructional methods and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Techniques of orientation and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Research or evidence-based practices in orientation and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Professional issues in orientation and mobility, including legal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350 hours of fieldwork and training under the supervision of the university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22.12(2)</w:t>
      </w:r>
      <w:r>
        <w:rPr>
          <w:rFonts w:ascii="Times New Roman" w:hAnsi="Times New Roman"/>
          <w:b w:val="false"/>
          <w:i w:val="false"/>
          <w:color w:val="000000"/>
          <w:sz w:val="22"/>
        </w:rPr>
        <w:t> </w:t>
      </w:r>
      <w:r>
        <w:rPr>
          <w:rFonts w:ascii="Times New Roman" w:hAnsi="Times New Roman"/>
          <w:b w:val="false"/>
          <w:i/>
          <w:color w:val="000000"/>
          <w:sz w:val="22"/>
        </w:rPr>
        <w:t xml:space="preserve">Validity—initial authorization. </w:t>
      </w:r>
      <w:r>
        <w:rPr>
          <w:rFonts w:ascii="Times New Roman" w:hAnsi="Times New Roman"/>
          <w:b w:val="false"/>
          <w:i w:val="false"/>
          <w:color w:val="000000"/>
          <w:sz w:val="22"/>
        </w:rPr>
        <w:t>The initial authorization is valid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22.12(3)</w:t>
      </w:r>
      <w:r>
        <w:rPr>
          <w:rFonts w:ascii="Times New Roman" w:hAnsi="Times New Roman"/>
          <w:b w:val="false"/>
          <w:i w:val="false"/>
          <w:color w:val="000000"/>
          <w:sz w:val="22"/>
        </w:rPr>
        <w:t> </w:t>
      </w:r>
      <w:r>
        <w:rPr>
          <w:rFonts w:ascii="Times New Roman" w:hAnsi="Times New Roman"/>
          <w:b w:val="false"/>
          <w:i/>
          <w:color w:val="000000"/>
          <w:sz w:val="22"/>
        </w:rPr>
        <w:t xml:space="preserve">Standard orientation and mobility license. </w:t>
      </w:r>
      <w:r>
        <w:rPr>
          <w:rFonts w:ascii="Times New Roman" w:hAnsi="Times New Roman"/>
          <w:b w:val="false"/>
          <w:i w:val="false"/>
          <w:color w:val="000000"/>
          <w:sz w:val="22"/>
        </w:rPr>
        <w:t>An applicant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requirements set forth in subrule </w:t>
      </w:r>
      <w:r>
        <w:rPr>
          <w:rFonts w:ascii="Times New Roman" w:hAnsi="Times New Roman"/>
          <w:b w:val="false"/>
          <w:i w:val="false"/>
          <w:color w:val="000000"/>
          <w:sz w:val="22"/>
        </w:rPr>
        <w:t>22.12(1)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successful completion of a three-year probationary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22.12(4)</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An orientation and mobility specialist is not eligible for any administrator license in either general education or special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282—22.13</w:t>
      </w:r>
      <w:r>
        <w:rPr>
          <w:rFonts w:ascii="Times New Roman" w:hAnsi="Times New Roman"/>
          <w:b/>
          <w:i w:val="false"/>
          <w:color w:val="000000"/>
          <w:sz w:val="22"/>
        </w:rPr>
        <w:t xml:space="preserve">(256) </w:t>
      </w:r>
      <w:r>
        <w:rPr>
          <w:rFonts w:ascii="Times New Roman" w:hAnsi="Times New Roman"/>
          <w:b/>
          <w:i w:val="false"/>
          <w:color w:val="000000"/>
          <w:sz w:val="22"/>
        </w:rPr>
        <w:t xml:space="preserve">Approval of courses. </w:t>
      </w:r>
      <w:r>
        <w:rPr>
          <w:rFonts w:ascii="Times New Roman" w:hAnsi="Times New Roman"/>
          <w:b w:val="false"/>
          <w:i w:val="false"/>
          <w:color w:val="000000"/>
          <w:sz w:val="22"/>
        </w:rPr>
        <w:t>Each institution of higher education, accredited Iowa school, or area education agency wishing to offer the semester credit or contact hours for the issuance or renewal of authorizations in this chapter will submit course descriptions for each offering to the board of educational examiners for approval. After initial approval, any changes by agencies or institutions in course offerings will be filed with the board of educational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282—22.14</w:t>
      </w:r>
      <w:r>
        <w:rPr>
          <w:rFonts w:ascii="Times New Roman" w:hAnsi="Times New Roman"/>
          <w:b/>
          <w:i w:val="false"/>
          <w:color w:val="000000"/>
          <w:sz w:val="22"/>
        </w:rPr>
        <w:t xml:space="preserve">(256) </w:t>
      </w:r>
      <w:r>
        <w:rPr>
          <w:rFonts w:ascii="Times New Roman" w:hAnsi="Times New Roman"/>
          <w:b/>
          <w:i w:val="false"/>
          <w:color w:val="000000"/>
          <w:sz w:val="22"/>
        </w:rPr>
        <w:t xml:space="preserve">Limited authorizations. </w:t>
      </w:r>
      <w:r>
        <w:rPr>
          <w:rFonts w:ascii="Times New Roman" w:hAnsi="Times New Roman"/>
          <w:b w:val="false"/>
          <w:i w:val="false"/>
          <w:color w:val="000000"/>
          <w:sz w:val="22"/>
        </w:rPr>
        <w:t>Authorizations are limited in scope and do not equate to full teaching or administrator licensure. Conditional licenses may not be added to authorizations. Additional endorsement areas may not be added unless otherwise 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7745B</w:t>
      </w:r>
      <w:r>
        <w:rPr>
          <w:rFonts w:ascii="Times New Roman" w:hAnsi="Times New Roman"/>
          <w:b w:val="false"/>
          <w:i w:val="false"/>
          <w:color w:val="000000"/>
          <w:sz w:val="21"/>
        </w:rPr>
        <w:t xml:space="preserve"> (Notice ARC 7329B, IAB 11/5/08)</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9572B</w:t>
      </w:r>
      <w:r>
        <w:rPr>
          <w:rFonts w:ascii="Times New Roman" w:hAnsi="Times New Roman"/>
          <w:b w:val="false"/>
          <w:i w:val="false"/>
          <w:color w:val="000000"/>
          <w:sz w:val="21"/>
        </w:rPr>
        <w:t xml:space="preserve"> (Notice ARC 9381B, IAB 2/23/11)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ARC 0562C</w:t>
      </w:r>
      <w:r>
        <w:rPr>
          <w:rFonts w:ascii="Times New Roman" w:hAnsi="Times New Roman"/>
          <w:b w:val="false"/>
          <w:i w:val="false"/>
          <w:color w:val="000000"/>
          <w:sz w:val="21"/>
        </w:rPr>
        <w:t xml:space="preserve"> (Notice ARC 0443C, IAB 11/14/12)</w:t>
      </w:r>
      <w:r>
        <w:rPr>
          <w:rFonts w:ascii="Times New Roman" w:hAnsi="Times New Roman"/>
          <w:b w:val="false"/>
          <w:i w:val="false"/>
          <w:color w:val="000000"/>
          <w:sz w:val="21"/>
        </w:rPr>
        <w:t>, IAB 1/23/13, effective 2/27/13]</w:t>
      </w:r>
    </w:p>
    <w:p>
      <w:pPr>
        <w:spacing w:before="0" w:after="0"/>
        <w:ind w:left="120"/>
        <w:jc w:val="center"/>
      </w:pPr>
      <w:r>
        <w:rPr>
          <w:rFonts w:ascii="Times New Roman" w:hAnsi="Times New Roman"/>
          <w:b w:val="false"/>
          <w:i w:val="false"/>
          <w:color w:val="000000"/>
          <w:sz w:val="21"/>
        </w:rPr>
        <w:t>[Filed ARC 0865C</w:t>
      </w:r>
      <w:r>
        <w:rPr>
          <w:rFonts w:ascii="Times New Roman" w:hAnsi="Times New Roman"/>
          <w:b w:val="false"/>
          <w:i w:val="false"/>
          <w:color w:val="000000"/>
          <w:sz w:val="21"/>
        </w:rPr>
        <w:t xml:space="preserve"> (Notice ARC 0676C, IAB 4/3/13)</w:t>
      </w:r>
      <w:r>
        <w:rPr>
          <w:rFonts w:ascii="Times New Roman" w:hAnsi="Times New Roman"/>
          <w:b w:val="false"/>
          <w:i w:val="false"/>
          <w:color w:val="000000"/>
          <w:sz w:val="21"/>
        </w:rPr>
        <w:t>, IAB 7/24/13, effective 8/28/13]</w:t>
      </w:r>
      <w:r>
        <w:br/>
      </w:r>
      <w:r>
        <w:rPr>
          <w:rFonts w:ascii="Times New Roman" w:hAnsi="Times New Roman"/>
          <w:b w:val="false"/>
          <w:i w:val="false"/>
          <w:color w:val="000000"/>
          <w:sz w:val="21"/>
        </w:rPr>
        <w:t>[Filed ARC 0866C</w:t>
      </w:r>
      <w:r>
        <w:rPr>
          <w:rFonts w:ascii="Times New Roman" w:hAnsi="Times New Roman"/>
          <w:b w:val="false"/>
          <w:i w:val="false"/>
          <w:color w:val="000000"/>
          <w:sz w:val="21"/>
        </w:rPr>
        <w:t xml:space="preserve"> (Notice ARC 0696C, IAB 5/1/13)</w:t>
      </w:r>
      <w:r>
        <w:rPr>
          <w:rFonts w:ascii="Times New Roman" w:hAnsi="Times New Roman"/>
          <w:b w:val="false"/>
          <w:i w:val="false"/>
          <w:color w:val="000000"/>
          <w:sz w:val="21"/>
        </w:rPr>
        <w:t>, IAB 7/24/13, effective 8/28/13]</w:t>
      </w:r>
      <w:r>
        <w:br/>
      </w:r>
      <w:r>
        <w:rPr>
          <w:rFonts w:ascii="Times New Roman" w:hAnsi="Times New Roman"/>
          <w:b w:val="false"/>
          <w:i w:val="false"/>
          <w:color w:val="000000"/>
          <w:sz w:val="21"/>
        </w:rPr>
        <w:t>[Filed ARC 0869C</w:t>
      </w:r>
      <w:r>
        <w:rPr>
          <w:rFonts w:ascii="Times New Roman" w:hAnsi="Times New Roman"/>
          <w:b w:val="false"/>
          <w:i w:val="false"/>
          <w:color w:val="000000"/>
          <w:sz w:val="21"/>
        </w:rPr>
        <w:t xml:space="preserve"> (Notice ARC 0704C,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1086C</w:t>
      </w:r>
      <w:r>
        <w:rPr>
          <w:rFonts w:ascii="Times New Roman" w:hAnsi="Times New Roman"/>
          <w:b w:val="false"/>
          <w:i w:val="false"/>
          <w:color w:val="000000"/>
          <w:sz w:val="21"/>
        </w:rPr>
        <w:t xml:space="preserve"> (Notice ARC 0877C, IAB 7/24/13)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1087C</w:t>
      </w:r>
      <w:r>
        <w:rPr>
          <w:rFonts w:ascii="Times New Roman" w:hAnsi="Times New Roman"/>
          <w:b w:val="false"/>
          <w:i w:val="false"/>
          <w:color w:val="000000"/>
          <w:sz w:val="21"/>
        </w:rPr>
        <w:t xml:space="preserve"> (Notice ARC 0878C, IAB 7/24/13)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1322C</w:t>
      </w:r>
      <w:r>
        <w:rPr>
          <w:rFonts w:ascii="Times New Roman" w:hAnsi="Times New Roman"/>
          <w:b w:val="false"/>
          <w:i w:val="false"/>
          <w:color w:val="000000"/>
          <w:sz w:val="21"/>
        </w:rPr>
        <w:t xml:space="preserve"> (Notice ARC 1180C, IAB 11/13/13)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1542C</w:t>
      </w:r>
      <w:r>
        <w:rPr>
          <w:rFonts w:ascii="Times New Roman" w:hAnsi="Times New Roman"/>
          <w:b w:val="false"/>
          <w:i w:val="false"/>
          <w:color w:val="000000"/>
          <w:sz w:val="21"/>
        </w:rPr>
        <w:t xml:space="preserve"> (Notice ARC 1379C, IAB 3/19/14)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1720C</w:t>
      </w:r>
      <w:r>
        <w:rPr>
          <w:rFonts w:ascii="Times New Roman" w:hAnsi="Times New Roman"/>
          <w:b w:val="false"/>
          <w:i w:val="false"/>
          <w:color w:val="000000"/>
          <w:sz w:val="21"/>
        </w:rPr>
        <w:t xml:space="preserve"> (Notice ARC 1552C, IAB 7/23/14)</w:t>
      </w:r>
      <w:r>
        <w:rPr>
          <w:rFonts w:ascii="Times New Roman" w:hAnsi="Times New Roman"/>
          <w:b w:val="false"/>
          <w:i w:val="false"/>
          <w:color w:val="000000"/>
          <w:sz w:val="21"/>
        </w:rPr>
        <w:t>, IAB 11/12/14, effective 12/17/14]</w:t>
      </w:r>
      <w:r>
        <w:br/>
      </w:r>
      <w:r>
        <w:rPr>
          <w:rFonts w:ascii="Times New Roman" w:hAnsi="Times New Roman"/>
          <w:b w:val="false"/>
          <w:i w:val="false"/>
          <w:color w:val="000000"/>
          <w:sz w:val="21"/>
        </w:rPr>
        <w:t>[Filed ARC 1719C</w:t>
      </w:r>
      <w:r>
        <w:rPr>
          <w:rFonts w:ascii="Times New Roman" w:hAnsi="Times New Roman"/>
          <w:b w:val="false"/>
          <w:i w:val="false"/>
          <w:color w:val="000000"/>
          <w:sz w:val="21"/>
        </w:rPr>
        <w:t xml:space="preserve"> (Notice ARC 1551C, IAB 7/23/14)</w:t>
      </w:r>
      <w:r>
        <w:rPr>
          <w:rFonts w:ascii="Times New Roman" w:hAnsi="Times New Roman"/>
          <w:b w:val="false"/>
          <w:i w:val="false"/>
          <w:color w:val="000000"/>
          <w:sz w:val="21"/>
        </w:rPr>
        <w:t>, IAB 11/12/14, effective 12/17/14]</w:t>
      </w:r>
      <w:r>
        <w:br/>
      </w:r>
      <w:r>
        <w:rPr>
          <w:rFonts w:ascii="Times New Roman" w:hAnsi="Times New Roman"/>
          <w:b w:val="false"/>
          <w:i w:val="false"/>
          <w:color w:val="000000"/>
          <w:sz w:val="21"/>
        </w:rPr>
        <w:t>[Filed ARC 1721C</w:t>
      </w:r>
      <w:r>
        <w:rPr>
          <w:rFonts w:ascii="Times New Roman" w:hAnsi="Times New Roman"/>
          <w:b w:val="false"/>
          <w:i w:val="false"/>
          <w:color w:val="000000"/>
          <w:sz w:val="21"/>
        </w:rPr>
        <w:t xml:space="preserve"> (Notice ARC 1604C, IAB 9/3/14)</w:t>
      </w:r>
      <w:r>
        <w:rPr>
          <w:rFonts w:ascii="Times New Roman" w:hAnsi="Times New Roman"/>
          <w:b w:val="false"/>
          <w:i w:val="false"/>
          <w:color w:val="000000"/>
          <w:sz w:val="21"/>
        </w:rPr>
        <w:t>, IAB 11/12/14, effective 12/17/14]</w:t>
      </w:r>
      <w:r>
        <w:br/>
      </w:r>
      <w:r>
        <w:rPr>
          <w:rFonts w:ascii="Times New Roman" w:hAnsi="Times New Roman"/>
          <w:b w:val="false"/>
          <w:i w:val="false"/>
          <w:color w:val="000000"/>
          <w:sz w:val="21"/>
        </w:rPr>
        <w:t>[Filed ARC 1718C</w:t>
      </w:r>
      <w:r>
        <w:rPr>
          <w:rFonts w:ascii="Times New Roman" w:hAnsi="Times New Roman"/>
          <w:b w:val="false"/>
          <w:i w:val="false"/>
          <w:color w:val="000000"/>
          <w:sz w:val="21"/>
        </w:rPr>
        <w:t xml:space="preserve"> (Notice ARC 1605C,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2015C</w:t>
      </w:r>
      <w:r>
        <w:rPr>
          <w:rFonts w:ascii="Times New Roman" w:hAnsi="Times New Roman"/>
          <w:b w:val="false"/>
          <w:i w:val="false"/>
          <w:color w:val="000000"/>
          <w:sz w:val="21"/>
        </w:rPr>
        <w:t xml:space="preserve"> (Notice ARC 1917C, IAB 3/18/15)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2121C</w:t>
      </w:r>
      <w:r>
        <w:rPr>
          <w:rFonts w:ascii="Times New Roman" w:hAnsi="Times New Roman"/>
          <w:b w:val="false"/>
          <w:i w:val="false"/>
          <w:color w:val="000000"/>
          <w:sz w:val="21"/>
        </w:rPr>
        <w:t xml:space="preserve"> (Notice ARC 2024C, IAB 6/10/15)</w:t>
      </w:r>
      <w:r>
        <w:rPr>
          <w:rFonts w:ascii="Times New Roman" w:hAnsi="Times New Roman"/>
          <w:b w:val="false"/>
          <w:i w:val="false"/>
          <w:color w:val="000000"/>
          <w:sz w:val="21"/>
        </w:rPr>
        <w:t>, IAB 9/2/15, effective 10/7/15]</w:t>
      </w:r>
    </w:p>
    <w:p>
      <w:pPr>
        <w:spacing w:before="0" w:after="0"/>
        <w:ind w:left="120"/>
        <w:jc w:val="center"/>
      </w:pPr>
      <w:r>
        <w:rPr>
          <w:rFonts w:ascii="Times New Roman" w:hAnsi="Times New Roman"/>
          <w:b w:val="false"/>
          <w:i w:val="false"/>
          <w:color w:val="000000"/>
          <w:sz w:val="21"/>
        </w:rPr>
        <w:t>[Filed ARC 2230C</w:t>
      </w:r>
      <w:r>
        <w:rPr>
          <w:rFonts w:ascii="Times New Roman" w:hAnsi="Times New Roman"/>
          <w:b w:val="false"/>
          <w:i w:val="false"/>
          <w:color w:val="000000"/>
          <w:sz w:val="21"/>
        </w:rPr>
        <w:t xml:space="preserve"> (Notice ARC 2130C,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2528C</w:t>
      </w:r>
      <w:r>
        <w:rPr>
          <w:rFonts w:ascii="Times New Roman" w:hAnsi="Times New Roman"/>
          <w:b w:val="false"/>
          <w:i w:val="false"/>
          <w:color w:val="000000"/>
          <w:sz w:val="21"/>
        </w:rPr>
        <w:t xml:space="preserve"> (Notice ARC 2411C, IAB 2/17/16)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2588C</w:t>
      </w:r>
      <w:r>
        <w:rPr>
          <w:rFonts w:ascii="Times New Roman" w:hAnsi="Times New Roman"/>
          <w:b w:val="false"/>
          <w:i w:val="false"/>
          <w:color w:val="000000"/>
          <w:sz w:val="21"/>
        </w:rPr>
        <w:t xml:space="preserve"> (Notice ARC 2445C, IAB 3/16/16)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2793C</w:t>
      </w:r>
      <w:r>
        <w:rPr>
          <w:rFonts w:ascii="Times New Roman" w:hAnsi="Times New Roman"/>
          <w:b w:val="false"/>
          <w:i w:val="false"/>
          <w:color w:val="000000"/>
          <w:sz w:val="21"/>
        </w:rPr>
        <w:t xml:space="preserve"> (Notice ARC 2690C, IAB 8/31/16)</w:t>
      </w:r>
      <w:r>
        <w:rPr>
          <w:rFonts w:ascii="Times New Roman" w:hAnsi="Times New Roman"/>
          <w:b w:val="false"/>
          <w:i w:val="false"/>
          <w:color w:val="000000"/>
          <w:sz w:val="21"/>
        </w:rPr>
        <w:t>, IAB 11/9/16, effective 12/14/16]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3196C</w:t>
      </w:r>
      <w:r>
        <w:rPr>
          <w:rFonts w:ascii="Times New Roman" w:hAnsi="Times New Roman"/>
          <w:b w:val="false"/>
          <w:i w:val="false"/>
          <w:color w:val="000000"/>
          <w:sz w:val="21"/>
        </w:rPr>
        <w:t xml:space="preserve"> (Notice ARC 3012C, IAB 4/12/17)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3633C</w:t>
      </w:r>
      <w:r>
        <w:rPr>
          <w:rFonts w:ascii="Times New Roman" w:hAnsi="Times New Roman"/>
          <w:b w:val="false"/>
          <w:i w:val="false"/>
          <w:color w:val="000000"/>
          <w:sz w:val="21"/>
        </w:rPr>
        <w:t xml:space="preserve"> (Notice ARC 3471C, IAB 12/6/17)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4634C</w:t>
      </w:r>
      <w:r>
        <w:rPr>
          <w:rFonts w:ascii="Times New Roman" w:hAnsi="Times New Roman"/>
          <w:b w:val="false"/>
          <w:i w:val="false"/>
          <w:color w:val="000000"/>
          <w:sz w:val="21"/>
        </w:rPr>
        <w:t xml:space="preserve"> (Notice ARC 4504C, IAB 6/19/19)</w:t>
      </w:r>
      <w:r>
        <w:rPr>
          <w:rFonts w:ascii="Times New Roman" w:hAnsi="Times New Roman"/>
          <w:b w:val="false"/>
          <w:i w:val="false"/>
          <w:color w:val="000000"/>
          <w:sz w:val="21"/>
        </w:rPr>
        <w:t>, IAB 8/28/19, effective 10/2/19]</w:t>
      </w:r>
      <w:r>
        <w:br/>
      </w:r>
      <w:r>
        <w:rPr>
          <w:rFonts w:ascii="Times New Roman" w:hAnsi="Times New Roman"/>
          <w:b w:val="false"/>
          <w:i w:val="false"/>
          <w:color w:val="000000"/>
          <w:sz w:val="21"/>
        </w:rPr>
        <w:t>[Filed ARC 4635C</w:t>
      </w:r>
      <w:r>
        <w:rPr>
          <w:rFonts w:ascii="Times New Roman" w:hAnsi="Times New Roman"/>
          <w:b w:val="false"/>
          <w:i w:val="false"/>
          <w:color w:val="000000"/>
          <w:sz w:val="21"/>
        </w:rPr>
        <w:t xml:space="preserve"> (Notice ARC 4501C,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5303C</w:t>
      </w:r>
      <w:r>
        <w:rPr>
          <w:rFonts w:ascii="Times New Roman" w:hAnsi="Times New Roman"/>
          <w:b w:val="false"/>
          <w:i w:val="false"/>
          <w:color w:val="000000"/>
          <w:sz w:val="21"/>
        </w:rPr>
        <w:t xml:space="preserve"> (Notice ARC 5169C, IAB 9/9/20)</w:t>
      </w:r>
      <w:r>
        <w:rPr>
          <w:rFonts w:ascii="Times New Roman" w:hAnsi="Times New Roman"/>
          <w:b w:val="false"/>
          <w:i w:val="false"/>
          <w:color w:val="000000"/>
          <w:sz w:val="21"/>
        </w:rPr>
        <w:t>, IAB 12/2/20, effective 1/6/21]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5322C</w:t>
      </w:r>
      <w:r>
        <w:rPr>
          <w:rFonts w:ascii="Times New Roman" w:hAnsi="Times New Roman"/>
          <w:b w:val="false"/>
          <w:i w:val="false"/>
          <w:color w:val="000000"/>
          <w:sz w:val="21"/>
        </w:rPr>
        <w:t xml:space="preserve"> (Notice ARC 5212C, IAB 10/7/20)</w:t>
      </w:r>
      <w:r>
        <w:rPr>
          <w:rFonts w:ascii="Times New Roman" w:hAnsi="Times New Roman"/>
          <w:b w:val="false"/>
          <w:i w:val="false"/>
          <w:color w:val="000000"/>
          <w:sz w:val="21"/>
        </w:rPr>
        <w:t>, IAB 12/16/20, effective 1/20/21]</w:t>
      </w:r>
      <w:r>
        <w:br/>
      </w:r>
      <w:r>
        <w:rPr>
          <w:rFonts w:ascii="Times New Roman" w:hAnsi="Times New Roman"/>
          <w:b w:val="false"/>
          <w:i w:val="false"/>
          <w:color w:val="000000"/>
          <w:sz w:val="21"/>
        </w:rPr>
        <w:t>[Filed ARC 5323C</w:t>
      </w:r>
      <w:r>
        <w:rPr>
          <w:rFonts w:ascii="Times New Roman" w:hAnsi="Times New Roman"/>
          <w:b w:val="false"/>
          <w:i w:val="false"/>
          <w:color w:val="000000"/>
          <w:sz w:val="21"/>
        </w:rPr>
        <w:t xml:space="preserve"> (Notice ARC 5215C, IAB 10/7/20)</w:t>
      </w:r>
      <w:r>
        <w:rPr>
          <w:rFonts w:ascii="Times New Roman" w:hAnsi="Times New Roman"/>
          <w:b w:val="false"/>
          <w:i w:val="false"/>
          <w:color w:val="000000"/>
          <w:sz w:val="21"/>
        </w:rPr>
        <w:t>, IAB 12/16/20, effective 1/20/21]</w:t>
      </w:r>
      <w:r>
        <w:br/>
      </w:r>
      <w:r>
        <w:rPr>
          <w:rFonts w:ascii="Times New Roman" w:hAnsi="Times New Roman"/>
          <w:b w:val="false"/>
          <w:i w:val="false"/>
          <w:color w:val="000000"/>
          <w:sz w:val="21"/>
        </w:rPr>
        <w:t>[Filed ARC 5321C</w:t>
      </w:r>
      <w:r>
        <w:rPr>
          <w:rFonts w:ascii="Times New Roman" w:hAnsi="Times New Roman"/>
          <w:b w:val="false"/>
          <w:i w:val="false"/>
          <w:color w:val="000000"/>
          <w:sz w:val="21"/>
        </w:rPr>
        <w:t xml:space="preserve"> (Notice ARC 5216C,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5803C</w:t>
      </w:r>
      <w:r>
        <w:rPr>
          <w:rFonts w:ascii="Times New Roman" w:hAnsi="Times New Roman"/>
          <w:b w:val="false"/>
          <w:i w:val="false"/>
          <w:color w:val="000000"/>
          <w:sz w:val="21"/>
        </w:rPr>
        <w:t xml:space="preserve"> (Notice ARC 5665C,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6125C</w:t>
      </w:r>
      <w:r>
        <w:rPr>
          <w:rFonts w:ascii="Times New Roman" w:hAnsi="Times New Roman"/>
          <w:b w:val="false"/>
          <w:i w:val="false"/>
          <w:color w:val="000000"/>
          <w:sz w:val="21"/>
        </w:rPr>
        <w:t xml:space="preserve"> (Notice ARC 5936C, IAB 10/6/21)</w:t>
      </w:r>
      <w:r>
        <w:rPr>
          <w:rFonts w:ascii="Times New Roman" w:hAnsi="Times New Roman"/>
          <w:b w:val="false"/>
          <w:i w:val="false"/>
          <w:color w:val="000000"/>
          <w:sz w:val="21"/>
        </w:rPr>
        <w:t>, IAB 1/12/22, effective 2/16/22]</w:t>
      </w:r>
      <w:r>
        <w:br/>
      </w:r>
      <w:r>
        <w:rPr>
          <w:rFonts w:ascii="Times New Roman" w:hAnsi="Times New Roman"/>
          <w:b w:val="false"/>
          <w:i w:val="false"/>
          <w:color w:val="000000"/>
          <w:sz w:val="21"/>
        </w:rPr>
        <w:t>[Filed ARC 6126C</w:t>
      </w:r>
      <w:r>
        <w:rPr>
          <w:rFonts w:ascii="Times New Roman" w:hAnsi="Times New Roman"/>
          <w:b w:val="false"/>
          <w:i w:val="false"/>
          <w:color w:val="000000"/>
          <w:sz w:val="21"/>
        </w:rPr>
        <w:t xml:space="preserve"> (Notice ARC 5937C,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6867C</w:t>
      </w:r>
      <w:r>
        <w:rPr>
          <w:rFonts w:ascii="Times New Roman" w:hAnsi="Times New Roman"/>
          <w:b w:val="false"/>
          <w:i w:val="false"/>
          <w:color w:val="000000"/>
          <w:sz w:val="21"/>
        </w:rPr>
        <w:t xml:space="preserve"> (Notice ARC 6680C, IAB 11/16/22)</w:t>
      </w:r>
      <w:r>
        <w:rPr>
          <w:rFonts w:ascii="Times New Roman" w:hAnsi="Times New Roman"/>
          <w:b w:val="false"/>
          <w:i w:val="false"/>
          <w:color w:val="000000"/>
          <w:sz w:val="21"/>
        </w:rPr>
        <w:t>, IAB 2/8/23, effective 3/15/23]</w:t>
      </w:r>
      <w:r>
        <w:br/>
      </w:r>
      <w:r>
        <w:rPr>
          <w:rFonts w:ascii="Times New Roman" w:hAnsi="Times New Roman"/>
          <w:b w:val="false"/>
          <w:i w:val="false"/>
          <w:color w:val="000000"/>
          <w:sz w:val="21"/>
        </w:rPr>
        <w:t>[Filed ARC 6869C</w:t>
      </w:r>
      <w:r>
        <w:rPr>
          <w:rFonts w:ascii="Times New Roman" w:hAnsi="Times New Roman"/>
          <w:b w:val="false"/>
          <w:i w:val="false"/>
          <w:color w:val="000000"/>
          <w:sz w:val="21"/>
        </w:rPr>
        <w:t xml:space="preserve"> (Notice ARC 6678C, IAB 11/16/22)</w:t>
      </w:r>
      <w:r>
        <w:rPr>
          <w:rFonts w:ascii="Times New Roman" w:hAnsi="Times New Roman"/>
          <w:b w:val="false"/>
          <w:i w:val="false"/>
          <w:color w:val="000000"/>
          <w:sz w:val="21"/>
        </w:rPr>
        <w:t>, IAB 2/8/23, effective 3/15/23]</w:t>
      </w:r>
      <w:r>
        <w:br/>
      </w:r>
      <w:r>
        <w:rPr>
          <w:rFonts w:ascii="Times New Roman" w:hAnsi="Times New Roman"/>
          <w:b w:val="false"/>
          <w:i w:val="false"/>
          <w:color w:val="000000"/>
          <w:sz w:val="21"/>
        </w:rPr>
        <w:t>[Filed ARC 6870C</w:t>
      </w:r>
      <w:r>
        <w:rPr>
          <w:rFonts w:ascii="Times New Roman" w:hAnsi="Times New Roman"/>
          <w:b w:val="false"/>
          <w:i w:val="false"/>
          <w:color w:val="000000"/>
          <w:sz w:val="21"/>
        </w:rPr>
        <w:t xml:space="preserve"> (Notice ARC 6677C,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Emergency ARC 8061C, IAB 6/12/24, effective 5/23/24]</w:t>
      </w:r>
    </w:p>
    <w:p>
      <w:pPr>
        <w:spacing w:before="0" w:after="0"/>
        <w:ind w:left="120"/>
        <w:jc w:val="center"/>
      </w:pPr>
      <w:r>
        <w:rPr>
          <w:rFonts w:ascii="Times New Roman" w:hAnsi="Times New Roman"/>
          <w:b w:val="false"/>
          <w:i w:val="false"/>
          <w:color w:val="000000"/>
          <w:sz w:val="21"/>
        </w:rPr>
        <w:t>[Filed ARC 8235C</w:t>
      </w:r>
      <w:r>
        <w:rPr>
          <w:rFonts w:ascii="Times New Roman" w:hAnsi="Times New Roman"/>
          <w:b w:val="false"/>
          <w:i w:val="false"/>
          <w:color w:val="000000"/>
          <w:sz w:val="21"/>
        </w:rPr>
        <w:t xml:space="preserve"> (Notice ARC 8062C, IAB 6/12/24)</w:t>
      </w:r>
      <w:r>
        <w:rPr>
          <w:rFonts w:ascii="Times New Roman" w:hAnsi="Times New Roman"/>
          <w:b w:val="false"/>
          <w:i w:val="false"/>
          <w:color w:val="000000"/>
          <w:sz w:val="21"/>
        </w:rPr>
        <w:t>, IAB 10/2/24, effective 11/6/24]</w:t>
      </w:r>
    </w:p>
    <w:p>
      <w:pPr>
        <w:spacing w:before="0" w:after="0"/>
        <w:ind w:left="120"/>
        <w:jc w:val="center"/>
      </w:pPr>
      <w:r>
        <w:rPr>
          <w:rFonts w:ascii="Times New Roman" w:hAnsi="Times New Roman"/>
          <w:b w:val="false"/>
          <w:i w:val="false"/>
          <w:color w:val="000000"/>
          <w:sz w:val="21"/>
        </w:rPr>
        <w:t>[Filed ARC 8820C</w:t>
      </w:r>
      <w:r>
        <w:rPr>
          <w:rFonts w:ascii="Times New Roman" w:hAnsi="Times New Roman"/>
          <w:b w:val="false"/>
          <w:i w:val="false"/>
          <w:color w:val="000000"/>
          <w:sz w:val="21"/>
        </w:rPr>
        <w:t xml:space="preserve"> (Notice ARC 8299C, IAB 10/30/24)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December 14, 2016, effective date of 22.1(2)</w:t>
      </w:r>
      <w:r>
        <w:rPr>
          <w:rFonts w:ascii="Times New Roman" w:hAnsi="Times New Roman"/>
          <w:b w:val="false"/>
          <w:i/>
          <w:color w:val="000000"/>
          <w:sz w:val="22"/>
        </w:rPr>
        <w:t>“a”</w:t>
      </w:r>
      <w:r>
        <w:rPr>
          <w:rFonts w:ascii="Times New Roman" w:hAnsi="Times New Roman"/>
          <w:b w:val="false"/>
          <w:i w:val="false"/>
          <w:color w:val="000000"/>
          <w:sz w:val="22"/>
        </w:rPr>
        <w:t>(7) and 22.1(4)</w:t>
      </w:r>
      <w:r>
        <w:rPr>
          <w:rFonts w:ascii="Times New Roman" w:hAnsi="Times New Roman"/>
          <w:b w:val="false"/>
          <w:i/>
          <w:color w:val="000000"/>
          <w:sz w:val="22"/>
        </w:rPr>
        <w:t>“a”</w:t>
      </w:r>
      <w:r>
        <w:rPr>
          <w:rFonts w:ascii="Times New Roman" w:hAnsi="Times New Roman"/>
          <w:b w:val="false"/>
          <w:i w:val="false"/>
          <w:color w:val="000000"/>
          <w:sz w:val="22"/>
        </w:rPr>
        <w:t>(4) [ARC 2793C, Item 2] delayed until the adjournment of the 2017 General Assembly by the Administrative Rules Review Committee at its meeting held December 13, 2016.</w:t>
      </w:r>
    </w:p>
    <w:p>
      <w:pPr>
        <w:pBdr>
          <w:bottom w:space="2"/>
        </w:pBdr>
        <w:spacing w:before="0" w:after="0"/>
        <w:ind w:left="120"/>
        <w:jc w:val="both"/>
      </w:pPr>
      <w:r>
        <w:rPr>
          <w:rFonts w:ascii="Times New Roman" w:hAnsi="Times New Roman"/>
          <w:b w:val="false"/>
          <w:i w:val="false"/>
          <w:color w:val="000000"/>
          <w:sz w:val="22"/>
        </w:rPr>
        <w:t>January 6, 2021, effective date of 22.2 [ARC 5303C, Item 2] delayed until the adjournment of the 2021 session of the General Assembly by the Administrative Rules Review Committee at its meeting held December 8, 2020.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65.pdf" Type="http://schemas.openxmlformats.org/officeDocument/2006/relationships/hyperlink" Id="rId5"/>
    <Relationship TargetMode="External" Target="https://www.legis.iowa.gov/docs/ico/chapter/256.165.pdf" Type="http://schemas.openxmlformats.org/officeDocument/2006/relationships/hyperlink" Id="rId6"/>
    <Relationship TargetMode="External" Target="https://www.legis.iowa.gov/docs/ico/chapter/256.165.pdf" Type="http://schemas.openxmlformats.org/officeDocument/2006/relationships/hyperlink" Id="rId7"/>
    <Relationship TargetMode="External" Target="https://www.legis.iowa.gov/docs/iac/chapter/281.81.pdf" Type="http://schemas.openxmlformats.org/officeDocument/2006/relationships/hyperlink" Id="rId8"/>
    <Relationship TargetMode="External" Target="https://www.legis.iowa.gov/docs/iac/rule/281.82.7.pdf" Type="http://schemas.openxmlformats.org/officeDocument/2006/relationships/hyperlink" Id="rId9"/>
    <Relationship TargetMode="External" Target="https://www.legis.iowa.gov/docs/iac/rule/282.20.1.pdf" Type="http://schemas.openxmlformats.org/officeDocument/2006/relationships/hyperlink" Id="rId10"/>
    <Relationship TargetMode="External" Target="https://www.legis.iowa.gov/docs/ico/chapter/256.161.pdf" Type="http://schemas.openxmlformats.org/officeDocument/2006/relationships/hyperlink" Id="rId11"/>
    <Relationship TargetMode="External" Target="https://www.legis.iowa.gov/docs/iac/rule/282.20.1.pdf" Type="http://schemas.openxmlformats.org/officeDocument/2006/relationships/hyperlink" Id="rId12"/>
    <Relationship TargetMode="External" Target="https://www.legis.iowa.gov/docs/ico/chapter/256.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