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RENEWALS AND EXTENSIONS</w:t>
      </w:r>
    </w:p>
    <w:p>
      <w:pPr>
        <w:spacing w:before="0" w:after="0"/>
        <w:ind w:left="120"/>
        <w:jc w:val="center"/>
      </w:pPr>
      <w:r>
        <w:rPr>
          <w:rFonts w:ascii="Times New Roman" w:hAnsi="Times New Roman"/>
          <w:b w:val="false"/>
          <w:i w:val="false"/>
          <w:color w:val="000000"/>
          <w:sz w:val="14"/>
        </w:rPr>
        <w:t>[Prior to 1/14/09, see Educational Examiners Board[282] Ch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282—20.1</w:t>
      </w:r>
      <w:r>
        <w:rPr>
          <w:rFonts w:ascii="Times New Roman" w:hAnsi="Times New Roman"/>
          <w:b/>
          <w:i w:val="false"/>
          <w:color w:val="000000"/>
          <w:sz w:val="22"/>
        </w:rPr>
        <w:t xml:space="preserve">(256) </w:t>
      </w:r>
      <w:r>
        <w:rPr>
          <w:rFonts w:ascii="Times New Roman" w:hAnsi="Times New Roman"/>
          <w:b/>
          <w:i w:val="false"/>
          <w:color w:val="000000"/>
          <w:sz w:val="22"/>
        </w:rPr>
        <w:t xml:space="preserve">Renewal of licenses, authorizations, certificates, and statements of professional recognition.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A renewed license is valid only from and after the date of issuance until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Child abuse training. </w:t>
      </w:r>
      <w:r>
        <w:rPr>
          <w:rFonts w:ascii="Times New Roman" w:hAnsi="Times New Roman"/>
          <w:b w:val="false"/>
          <w:i w:val="false"/>
          <w:color w:val="000000"/>
          <w:sz w:val="22"/>
        </w:rPr>
        <w:t>Every renewal applicant will provide a valid certificate of child abuse training approved by the department of health and human services. A waiver of this requirement may apply under the following conditions with appropriate documentation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engaged in active duty in the military service of this state or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of this requirement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is practicing a licensed profession outside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is otherwise subject to circumstances that would preclude the person from satisfying the approved child abuse training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Recency of credits for renewal. </w:t>
      </w:r>
      <w:r>
        <w:rPr>
          <w:rFonts w:ascii="Times New Roman" w:hAnsi="Times New Roman"/>
          <w:b w:val="false"/>
          <w:i w:val="false"/>
          <w:color w:val="000000"/>
          <w:sz w:val="22"/>
        </w:rPr>
        <w:t>If a license is renewed on or before the date of expiration, the credits for renewal are acceptable if earned during the term of the license. If a license is not renewed before the date of expiration, the credits for renewal will have been completed within the five-year period immediately preceding the date of application for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w:t>
      </w:r>
      <w:r>
        <w:rPr>
          <w:rFonts w:ascii="Times New Roman" w:hAnsi="Times New Roman"/>
          <w:b w:val="false"/>
          <w:i w:val="false"/>
          <w:color w:val="000000"/>
          <w:sz w:val="22"/>
        </w:rPr>
        <w:t> </w:t>
      </w:r>
      <w:r>
        <w:rPr>
          <w:rFonts w:ascii="Times New Roman" w:hAnsi="Times New Roman"/>
          <w:b w:val="false"/>
          <w:i/>
          <w:color w:val="000000"/>
          <w:sz w:val="22"/>
        </w:rPr>
        <w:t xml:space="preserve">Timely renewal. </w:t>
      </w:r>
      <w:r>
        <w:rPr>
          <w:rFonts w:ascii="Times New Roman" w:hAnsi="Times New Roman"/>
          <w:b w:val="false"/>
          <w:i w:val="false"/>
          <w:color w:val="000000"/>
          <w:sz w:val="22"/>
        </w:rPr>
        <w:t>An application to renew may be submitted no earlier than one year before the license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282—20.2</w:t>
      </w:r>
      <w:r>
        <w:rPr>
          <w:rFonts w:ascii="Times New Roman" w:hAnsi="Times New Roman"/>
          <w:b/>
          <w:i w:val="false"/>
          <w:color w:val="000000"/>
          <w:sz w:val="22"/>
        </w:rPr>
        <w:t xml:space="preserve">(256) </w:t>
      </w:r>
      <w:r>
        <w:rPr>
          <w:rFonts w:ascii="Times New Roman" w:hAnsi="Times New Roman"/>
          <w:b/>
          <w:i w:val="false"/>
          <w:color w:val="000000"/>
          <w:sz w:val="22"/>
        </w:rPr>
        <w:t xml:space="preserve">Renewal and extension requirements for the initial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color w:val="000000"/>
          <w:sz w:val="22"/>
        </w:rPr>
        <w:t xml:space="preserve">Initial license renewals. </w:t>
      </w:r>
      <w:r>
        <w:rPr>
          <w:rFonts w:ascii="Times New Roman" w:hAnsi="Times New Roman"/>
          <w:b w:val="false"/>
          <w:i w:val="false"/>
          <w:color w:val="000000"/>
          <w:sz w:val="22"/>
        </w:rPr>
        <w:t xml:space="preserve">The temporary initial teaching license, initial teaching license, initial professional service license, or initial administrator license may be renewed twice if the experience requirement for conversion has not been met. The second renewal will require proof of contracted employment that will lead to the full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color w:val="000000"/>
          <w:sz w:val="22"/>
        </w:rPr>
        <w:t xml:space="preserve">Initial license extensions. </w:t>
      </w:r>
      <w:r>
        <w:rPr>
          <w:rFonts w:ascii="Times New Roman" w:hAnsi="Times New Roman"/>
          <w:b w:val="false"/>
          <w:i w:val="false"/>
          <w:color w:val="000000"/>
          <w:sz w:val="22"/>
        </w:rPr>
        <w:t>A one-year extension may be granted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standards have been met and the applicant needs one additional year to meet the experience requirement for the standard teaching license, professional service license, or professional administrator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district, after conducting a comprehensive evaluation, recommends and verifies that the temporary initial, initial teaching, or initial professional service license holder will participate in the mentoring program for a third year. No further extensions or renewals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282—20.3</w:t>
      </w:r>
      <w:r>
        <w:rPr>
          <w:rFonts w:ascii="Times New Roman" w:hAnsi="Times New Roman"/>
          <w:b/>
          <w:i w:val="false"/>
          <w:color w:val="000000"/>
          <w:sz w:val="22"/>
        </w:rPr>
        <w:t xml:space="preserve">(256) </w:t>
      </w:r>
      <w:r>
        <w:rPr>
          <w:rFonts w:ascii="Times New Roman" w:hAnsi="Times New Roman"/>
          <w:b/>
          <w:i w:val="false"/>
          <w:color w:val="000000"/>
          <w:sz w:val="22"/>
        </w:rPr>
        <w:t xml:space="preserve">Renewal requirements for other license types.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Approved renewal credit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credit may be earned for each semester hour of college credit completed related to education or any endorsement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credits may be earned for each licensure renewal course or activity completed as approved through guidelines established by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Four credits may be earned for successful completion of the National Board for Professional Teaching Standards certification. This certification may be used one time for either the standard or master educator license. Four credits may also be earned for each National Board for Professional Teaching Standards certification renewal and may be used toward the subsequent renewal of either the standard or master educator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One-half of the required renewal credits may be earned upon the successful completion of an individualized professional development plan as verified by the supervising licensed evaluator.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Specific 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teaching license, career and technical authorization, content specialist authorization, native language teaching authorization, and orientation and mobility specialist authorization require six renewal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master educator license, professional service license, and professional administrator license require four renewal credits. For an applicant who also holds a specialist’s or doctor’s degree, two renewal credits are required. The professional administrator license renewal also requires verification of completion of an approved evaluator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substitute license requires one renewal credit, or verification of 30 days of substitute teaching, or one year of classroom teaching, within the recency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paraeducator certificate requires three renewal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substitute authorization requires two renewal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coaching authorization requires four approved renewal activities to include concussion training, mandatory reporter training for child abuse, a current certificate of CPR training, and one athletic rules meeting or one renewal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activities administrator authorization requires one of the following renewal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 attendance at one state IHSADA convention and one LTI course relating to the knowledge and understanding of professional ethics and legal responsibilities of activities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three LTI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two semester hours of college credit or renewal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school business official authorization requires four renewal credits or the equivalent approved contact hours within the three-year licensure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standard school administration manager requires three renewal credits or approved SAM trainings.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iJAG authorization requires verification of iJAG training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statement of professional recognition requires verification of the valid license from the other state licensing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behind-the-wheel authorization and the work-based learning program supervisor authorization require verification of child abuse training only as stated in </w:t>
      </w:r>
      <w:hyperlink r:id="rId5">
        <w:r>
          <w:rPr>
            <w:rStyle w:val="Hyperlink"/>
            <w:rFonts w:ascii="Times New Roman" w:hAnsi="Times New Roman"/>
            <w:b w:val="false"/>
            <w:i w:val="false"/>
            <w:color w:val="000000"/>
            <w:sz w:val="22"/>
          </w:rPr>
          <w:t>282—subrule 20.1(2)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evaluator license and charter school administrator authorization require verification of completion of an approved evaluator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Advanced degree and ten years of experience. </w:t>
      </w:r>
      <w:r>
        <w:rPr>
          <w:rFonts w:ascii="Times New Roman" w:hAnsi="Times New Roman"/>
          <w:b w:val="false"/>
          <w:i w:val="false"/>
          <w:color w:val="000000"/>
          <w:sz w:val="22"/>
        </w:rPr>
        <w:t>Licensees who hold a master’s degree or higher and who have at least ten years of PK-12 licensed experience may submit verification of the advanced degree and experience in lieu of renewal credits. The professional administrator license renewal also requires verification of completion of an approved evaluator course that is less than ten years 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282—20.4</w:t>
      </w:r>
      <w:r>
        <w:rPr>
          <w:rFonts w:ascii="Times New Roman" w:hAnsi="Times New Roman"/>
          <w:b/>
          <w:i w:val="false"/>
          <w:color w:val="000000"/>
          <w:sz w:val="22"/>
        </w:rPr>
        <w:t xml:space="preserve">(256) </w:t>
      </w:r>
      <w:r>
        <w:rPr>
          <w:rFonts w:ascii="Times New Roman" w:hAnsi="Times New Roman"/>
          <w:b/>
          <w:i w:val="false"/>
          <w:color w:val="000000"/>
          <w:sz w:val="22"/>
        </w:rPr>
        <w:t xml:space="preserve">Extensions.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For licenses, authorizations, and certificates that require renewal credits, a one-year Class A extension may be issued if the applicant needs more time to complete the renewal requirements. Other authorizations may be extended with the approval of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A final Class E emergency extension of a Class A or B license may be issued if the applicant provides transcripts of coursework completed during the term of the expired license and a program of study or registration for coursework to be completed during the term of the Class E emergency extension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An application to extend a coaching authorization will require verification of an approved concussion training course and no additional extensions will be granted.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282—20.5</w:t>
      </w:r>
      <w:r>
        <w:rPr>
          <w:rFonts w:ascii="Times New Roman" w:hAnsi="Times New Roman"/>
          <w:b/>
          <w:i w:val="false"/>
          <w:color w:val="000000"/>
          <w:sz w:val="22"/>
        </w:rPr>
        <w:t xml:space="preserve">(256) </w:t>
      </w:r>
      <w:r>
        <w:rPr>
          <w:rFonts w:ascii="Times New Roman" w:hAnsi="Times New Roman"/>
          <w:b/>
          <w:i w:val="false"/>
          <w:color w:val="000000"/>
          <w:sz w:val="22"/>
        </w:rPr>
        <w:t xml:space="preserve">Licensure renewal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renewal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will describe a minimum of ten planned licensure renewal credit courses or five administrator renewal credit courses per year at a minimum of 15 contact hours each that are evidence-based and model best practices in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will identify the criteria used in selecting faculty/instructors for the licensure renewal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will provide survey results showing the professional development needs that will be met through the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will identify a licensure renewal credit coordinator who will serve as a contact person, file required reports, provide records of credit and maintain these records for at least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approved licensure renewal program will be monitored by the board of educational examiners to determine the extent to which the program meets/continues to meet program standards and is moving toward the attainment of program objectives. This will include an annual report that will include an annotated description of the courses provided, evidence of the collaborative efforts used in developing the courses, evidence of the intended results of the courses, and the data for demonstrating progress toward the intended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Eligible agencies/institutions.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Area education agencies, school districts, and charter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educational professional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colleges and universities approved for teacher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community colleges.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7988B</w:t>
      </w:r>
      <w:r>
        <w:rPr>
          <w:rFonts w:ascii="Times New Roman" w:hAnsi="Times New Roman"/>
          <w:b w:val="false"/>
          <w:i w:val="false"/>
          <w:color w:val="000000"/>
          <w:sz w:val="21"/>
        </w:rPr>
        <w:t xml:space="preserve"> (Notice ARC 7748B, IAB 5/6/09)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9451B</w:t>
      </w:r>
      <w:r>
        <w:rPr>
          <w:rFonts w:ascii="Times New Roman" w:hAnsi="Times New Roman"/>
          <w:b w:val="false"/>
          <w:i w:val="false"/>
          <w:color w:val="000000"/>
          <w:sz w:val="21"/>
        </w:rPr>
        <w:t xml:space="preserve"> (Notice ARC 9300B,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0026C</w:t>
      </w:r>
      <w:r>
        <w:rPr>
          <w:rFonts w:ascii="Times New Roman" w:hAnsi="Times New Roman"/>
          <w:b w:val="false"/>
          <w:i w:val="false"/>
          <w:color w:val="000000"/>
          <w:sz w:val="21"/>
        </w:rPr>
        <w:t xml:space="preserve"> (Notice ARC 9924B, IAB 12/14/11)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2017C</w:t>
      </w:r>
      <w:r>
        <w:rPr>
          <w:rFonts w:ascii="Times New Roman" w:hAnsi="Times New Roman"/>
          <w:b w:val="false"/>
          <w:i w:val="false"/>
          <w:color w:val="000000"/>
          <w:sz w:val="21"/>
        </w:rPr>
        <w:t xml:space="preserve"> (Notice ARC 1919C, IAB 3/18/15)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2120C</w:t>
      </w:r>
      <w:r>
        <w:rPr>
          <w:rFonts w:ascii="Times New Roman" w:hAnsi="Times New Roman"/>
          <w:b w:val="false"/>
          <w:i w:val="false"/>
          <w:color w:val="000000"/>
          <w:sz w:val="21"/>
        </w:rPr>
        <w:t xml:space="preserve"> (Notice ARC 2025C, IAB 6/10/15)</w:t>
      </w:r>
      <w:r>
        <w:rPr>
          <w:rFonts w:ascii="Times New Roman" w:hAnsi="Times New Roman"/>
          <w:b w:val="false"/>
          <w:i w:val="false"/>
          <w:color w:val="000000"/>
          <w:sz w:val="21"/>
        </w:rPr>
        <w:t>, IAB 9/2/15, effective 10/7/15]</w:t>
      </w:r>
    </w:p>
    <w:p>
      <w:pPr>
        <w:spacing w:before="0" w:after="0"/>
        <w:ind w:left="120"/>
        <w:jc w:val="center"/>
      </w:pPr>
      <w:r>
        <w:rPr>
          <w:rFonts w:ascii="Times New Roman" w:hAnsi="Times New Roman"/>
          <w:b w:val="false"/>
          <w:i w:val="false"/>
          <w:color w:val="000000"/>
          <w:sz w:val="21"/>
        </w:rPr>
        <w:t>[Filed ARC 2230C</w:t>
      </w:r>
      <w:r>
        <w:rPr>
          <w:rFonts w:ascii="Times New Roman" w:hAnsi="Times New Roman"/>
          <w:b w:val="false"/>
          <w:i w:val="false"/>
          <w:color w:val="000000"/>
          <w:sz w:val="21"/>
        </w:rPr>
        <w:t xml:space="preserve"> (Notice ARC 2130C,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2587C</w:t>
      </w:r>
      <w:r>
        <w:rPr>
          <w:rFonts w:ascii="Times New Roman" w:hAnsi="Times New Roman"/>
          <w:b w:val="false"/>
          <w:i w:val="false"/>
          <w:color w:val="000000"/>
          <w:sz w:val="21"/>
        </w:rPr>
        <w:t xml:space="preserve"> (Notice ARC 2452C, IAB 3/16/16)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3196C</w:t>
      </w:r>
      <w:r>
        <w:rPr>
          <w:rFonts w:ascii="Times New Roman" w:hAnsi="Times New Roman"/>
          <w:b w:val="false"/>
          <w:i w:val="false"/>
          <w:color w:val="000000"/>
          <w:sz w:val="21"/>
        </w:rPr>
        <w:t xml:space="preserve"> (Notice ARC 3012C, IAB 4/12/17)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3829C</w:t>
      </w:r>
      <w:r>
        <w:rPr>
          <w:rFonts w:ascii="Times New Roman" w:hAnsi="Times New Roman"/>
          <w:b w:val="false"/>
          <w:i w:val="false"/>
          <w:color w:val="000000"/>
          <w:sz w:val="21"/>
        </w:rPr>
        <w:t xml:space="preserve"> (Notice ARC 3710C,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4634C</w:t>
      </w:r>
      <w:r>
        <w:rPr>
          <w:rFonts w:ascii="Times New Roman" w:hAnsi="Times New Roman"/>
          <w:b w:val="false"/>
          <w:i w:val="false"/>
          <w:color w:val="000000"/>
          <w:sz w:val="21"/>
        </w:rPr>
        <w:t xml:space="preserve"> (Notice ARC 4504C,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5803C</w:t>
      </w:r>
      <w:r>
        <w:rPr>
          <w:rFonts w:ascii="Times New Roman" w:hAnsi="Times New Roman"/>
          <w:b w:val="false"/>
          <w:i w:val="false"/>
          <w:color w:val="000000"/>
          <w:sz w:val="21"/>
        </w:rPr>
        <w:t xml:space="preserve"> (Notice ARC 5665C,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6127C</w:t>
      </w:r>
      <w:r>
        <w:rPr>
          <w:rFonts w:ascii="Times New Roman" w:hAnsi="Times New Roman"/>
          <w:b w:val="false"/>
          <w:i w:val="false"/>
          <w:color w:val="000000"/>
          <w:sz w:val="21"/>
        </w:rPr>
        <w:t xml:space="preserve"> (Notice ARC 5935C,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8818C</w:t>
      </w:r>
      <w:r>
        <w:rPr>
          <w:rFonts w:ascii="Times New Roman" w:hAnsi="Times New Roman"/>
          <w:b w:val="false"/>
          <w:i w:val="false"/>
          <w:color w:val="000000"/>
          <w:sz w:val="21"/>
        </w:rPr>
        <w:t xml:space="preserve"> (Notice ARC 8304C,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2.20.1.pdf" Type="http://schemas.openxmlformats.org/officeDocument/2006/relationships/hyperlink" Id="rId5"/>
    <Relationship TargetMode="External" Target="https://www.legis.iowa.gov/docs/ico/chapter/25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