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18</w:t>
      </w:r>
    </w:p>
    <w:p>
      <w:pPr>
        <w:spacing w:before="0" w:after="0"/>
        <w:ind w:left="120"/>
        <w:jc w:val="center"/>
      </w:pPr>
      <w:r>
        <w:rPr>
          <w:rFonts w:ascii="Times New Roman" w:hAnsi="Times New Roman"/>
          <w:b w:val="false"/>
          <w:i w:val="false"/>
          <w:color w:val="000000"/>
          <w:sz w:val="21"/>
        </w:rPr>
        <w:t>ADMINISTRATOR LICENSES AND ENDORSEMENTS</w:t>
      </w:r>
    </w:p>
    <w:p>
      <w:pPr>
        <w:spacing w:before="0" w:after="0"/>
        <w:ind w:left="120"/>
        <w:jc w:val="center"/>
      </w:pPr>
      <w:r>
        <w:rPr>
          <w:rFonts w:ascii="Times New Roman" w:hAnsi="Times New Roman"/>
          <w:b w:val="false"/>
          <w:i w:val="false"/>
          <w:color w:val="000000"/>
          <w:sz w:val="14"/>
        </w:rPr>
        <w:t>[Prior to 1/14/09, see Educational Examiners Board[282] Ch 14]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2/26/30</w:t>
      </w:r>
    </w:p>
    <w:p>
      <w:pPr>
        <w:spacing w:before="0" w:after="0"/>
        <w:ind w:left="120"/>
        <w:jc w:val="both"/>
      </w:pPr>
      <w:r>
        <w:rPr>
          <w:rFonts w:ascii="Times New Roman" w:hAnsi="Times New Roman"/>
          <w:b/>
          <w:i w:val="false"/>
          <w:color w:val="000000"/>
          <w:sz w:val="22"/>
        </w:rPr>
        <w:t>282—18.1</w:t>
      </w:r>
      <w:r>
        <w:rPr>
          <w:rFonts w:ascii="Times New Roman" w:hAnsi="Times New Roman"/>
          <w:b/>
          <w:i w:val="false"/>
          <w:color w:val="000000"/>
          <w:sz w:val="22"/>
        </w:rPr>
        <w:t xml:space="preserve">(256) </w:t>
      </w:r>
      <w:r>
        <w:rPr>
          <w:rFonts w:ascii="Times New Roman" w:hAnsi="Times New Roman"/>
          <w:b/>
          <w:i w:val="false"/>
          <w:color w:val="000000"/>
          <w:sz w:val="22"/>
        </w:rPr>
        <w:t xml:space="preserve">Administrator licenses.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18.1(1)</w:t>
      </w:r>
      <w:r>
        <w:rPr>
          <w:rFonts w:ascii="Times New Roman" w:hAnsi="Times New Roman"/>
          <w:b w:val="false"/>
          <w:i w:val="false"/>
          <w:color w:val="000000"/>
          <w:sz w:val="22"/>
        </w:rPr>
        <w:t> </w:t>
      </w:r>
      <w:r>
        <w:rPr>
          <w:rFonts w:ascii="Times New Roman" w:hAnsi="Times New Roman"/>
          <w:b w:val="false"/>
          <w:i/>
          <w:color w:val="000000"/>
          <w:sz w:val="22"/>
        </w:rPr>
        <w:t xml:space="preserve">Applicants from Iowa institutions. </w:t>
      </w:r>
      <w:r>
        <w:rPr>
          <w:rFonts w:ascii="Times New Roman" w:hAnsi="Times New Roman"/>
          <w:b w:val="false"/>
          <w:i w:val="false"/>
          <w:color w:val="000000"/>
          <w:sz w:val="22"/>
        </w:rPr>
        <w:t>The applicant will complete all degree and coursework requirements to receive a recommendation for the specific license and endorsement(s) from the designated recommending official at the recognized institution where the preparation was completed.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18.1(2)</w:t>
      </w:r>
      <w:r>
        <w:rPr>
          <w:rFonts w:ascii="Times New Roman" w:hAnsi="Times New Roman"/>
          <w:b w:val="false"/>
          <w:i w:val="false"/>
          <w:color w:val="000000"/>
          <w:sz w:val="22"/>
        </w:rPr>
        <w:t> </w:t>
      </w:r>
      <w:r>
        <w:rPr>
          <w:rFonts w:ascii="Times New Roman" w:hAnsi="Times New Roman"/>
          <w:b w:val="false"/>
          <w:i/>
          <w:color w:val="000000"/>
          <w:sz w:val="22"/>
        </w:rPr>
        <w:t xml:space="preserve">Applicants from non-Iowa institutions.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Original application. An applicant from a non-Iowa institution applying for the applicant’s first Iowa administrator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Will meet the requirements set forth in Iowa Code sections </w:t>
      </w:r>
      <w:hyperlink r:id="rId5">
        <w:r>
          <w:rPr>
            <w:rStyle w:val="Hyperlink"/>
            <w:rFonts w:ascii="Times New Roman" w:hAnsi="Times New Roman"/>
            <w:b w:val="false"/>
            <w:i w:val="false"/>
            <w:color w:val="000000"/>
            <w:sz w:val="22"/>
          </w:rPr>
          <w:t>256.152</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272C.12</w:t>
        </w:r>
      </w:hyperlink>
      <w:r>
        <w:rPr>
          <w:rFonts w:ascii="Times New Roman" w:hAnsi="Times New Roman"/>
          <w:b w:val="false"/>
          <w:i w:val="false"/>
          <w:color w:val="000000"/>
          <w:sz w:val="22"/>
        </w:rPr>
        <w:t>. Endorsements will be granted based on comparable Iowa endorsements, and endorsement requirements may be waived in order to grant the most comparable endorsement.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Will not be subject to any pending disciplinary proceedings in any state or country.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Holders of an Iowa administrator license who applied under this rule prior to June 16, 2022, may submit a new application if the requirements in this subrule would have been met at the time of their initial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8816C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282—18.2</w:t>
      </w:r>
      <w:r>
        <w:rPr>
          <w:rFonts w:ascii="Times New Roman" w:hAnsi="Times New Roman"/>
          <w:b/>
          <w:i w:val="false"/>
          <w:color w:val="000000"/>
          <w:sz w:val="22"/>
        </w:rPr>
        <w:t xml:space="preserve">(256) </w:t>
      </w:r>
      <w:r>
        <w:rPr>
          <w:rFonts w:ascii="Times New Roman" w:hAnsi="Times New Roman"/>
          <w:b/>
          <w:i w:val="false"/>
          <w:color w:val="000000"/>
          <w:sz w:val="22"/>
        </w:rPr>
        <w:t xml:space="preserve">Initial administrator license. </w:t>
      </w:r>
      <w:r>
        <w:rPr>
          <w:rFonts w:ascii="Times New Roman" w:hAnsi="Times New Roman"/>
          <w:b w:val="false"/>
          <w:i w:val="false"/>
          <w:color w:val="000000"/>
          <w:sz w:val="22"/>
        </w:rPr>
        <w:t xml:space="preserve">An initial license valid for a minimum of one year with an expiration date of June 30 may be issued to an applicant who meets the general requirements set forth in rule </w:t>
      </w:r>
      <w:hyperlink r:id="rId7">
        <w:r>
          <w:rPr>
            <w:rStyle w:val="Hyperlink"/>
            <w:rFonts w:ascii="Times New Roman" w:hAnsi="Times New Roman"/>
            <w:b w:val="false"/>
            <w:i w:val="false"/>
            <w:color w:val="000000"/>
            <w:sz w:val="22"/>
          </w:rPr>
          <w:t>282—18.1</w:t>
        </w:r>
      </w:hyperlink>
      <w:r>
        <w:rPr>
          <w:rFonts w:ascii="Times New Roman" w:hAnsi="Times New Roman"/>
          <w:b w:val="false"/>
          <w:i w:val="false"/>
          <w:color w:val="000000"/>
          <w:sz w:val="22"/>
        </w:rPr>
        <w:t>(256).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8816C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282—18.3</w:t>
      </w:r>
      <w:r>
        <w:rPr>
          <w:rFonts w:ascii="Times New Roman" w:hAnsi="Times New Roman"/>
          <w:b/>
          <w:i w:val="false"/>
          <w:color w:val="000000"/>
          <w:sz w:val="22"/>
        </w:rPr>
        <w:t xml:space="preserve">(256) </w:t>
      </w:r>
      <w:r>
        <w:rPr>
          <w:rFonts w:ascii="Times New Roman" w:hAnsi="Times New Roman"/>
          <w:b/>
          <w:i w:val="false"/>
          <w:color w:val="000000"/>
          <w:sz w:val="22"/>
        </w:rPr>
        <w:t xml:space="preserve">Professional administrator license. </w:t>
      </w:r>
      <w:r>
        <w:rPr>
          <w:rFonts w:ascii="Times New Roman" w:hAnsi="Times New Roman"/>
          <w:b w:val="false"/>
          <w:i w:val="false"/>
          <w:color w:val="000000"/>
          <w:sz w:val="22"/>
        </w:rPr>
        <w:t>A professional administrator license valid for five years may be issued to an applicant who does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18.3(1)</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Completes the requirements in rule </w:t>
      </w:r>
      <w:hyperlink r:id="rId8">
        <w:r>
          <w:rPr>
            <w:rStyle w:val="Hyperlink"/>
            <w:rFonts w:ascii="Times New Roman" w:hAnsi="Times New Roman"/>
            <w:b w:val="false"/>
            <w:i w:val="false"/>
            <w:color w:val="000000"/>
            <w:sz w:val="22"/>
          </w:rPr>
          <w:t>282—18.1</w:t>
        </w:r>
      </w:hyperlink>
      <w:r>
        <w:rPr>
          <w:rFonts w:ascii="Times New Roman" w:hAnsi="Times New Roman"/>
          <w:b w:val="false"/>
          <w:i w:val="false"/>
          <w:color w:val="000000"/>
          <w:sz w:val="22"/>
        </w:rPr>
        <w:t>(256).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18.3(2)</w:t>
      </w:r>
      <w:r>
        <w:rPr>
          <w:rFonts w:ascii="Times New Roman" w:hAnsi="Times New Roman"/>
          <w:b w:val="false"/>
          <w:i w:val="false"/>
          <w:color w:val="000000"/>
          <w:sz w:val="22"/>
        </w:rPr>
        <w:t> </w:t>
      </w:r>
      <w:r>
        <w:rPr>
          <w:rFonts w:ascii="Times New Roman" w:hAnsi="Times New Roman"/>
          <w:b w:val="false"/>
          <w:i w:val="false"/>
          <w:color w:val="000000"/>
          <w:sz w:val="22"/>
        </w:rPr>
        <w:t xml:space="preserve">Successfully meets each standard pursuant to rule </w:t>
      </w:r>
      <w:hyperlink r:id="rId9">
        <w:r>
          <w:rPr>
            <w:rStyle w:val="Hyperlink"/>
            <w:rFonts w:ascii="Times New Roman" w:hAnsi="Times New Roman"/>
            <w:b w:val="false"/>
            <w:i w:val="false"/>
            <w:color w:val="000000"/>
            <w:sz w:val="22"/>
          </w:rPr>
          <w:t>281—83.10</w:t>
        </w:r>
      </w:hyperlink>
      <w:r>
        <w:rPr>
          <w:rFonts w:ascii="Times New Roman" w:hAnsi="Times New Roman"/>
          <w:b w:val="false"/>
          <w:i w:val="false"/>
          <w:color w:val="000000"/>
          <w:sz w:val="22"/>
        </w:rPr>
        <w:t>(284A).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18.3(3)</w:t>
      </w:r>
      <w:r>
        <w:rPr>
          <w:rFonts w:ascii="Times New Roman" w:hAnsi="Times New Roman"/>
          <w:b w:val="false"/>
          <w:i w:val="false"/>
          <w:color w:val="000000"/>
          <w:sz w:val="22"/>
        </w:rPr>
        <w:t> </w:t>
      </w:r>
      <w:r>
        <w:rPr>
          <w:rFonts w:ascii="Times New Roman" w:hAnsi="Times New Roman"/>
          <w:b w:val="false"/>
          <w:i w:val="false"/>
          <w:color w:val="000000"/>
          <w:sz w:val="22"/>
        </w:rPr>
        <w:t>Completes one year of administrative experience in an Iowa public school and completes the administrator mentoring program while holding an administrator license, or successfully completes two years of administrative experience in a nonpublic or out-of-state school setting.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8816C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282—18.4</w:t>
      </w:r>
      <w:r>
        <w:rPr>
          <w:rFonts w:ascii="Times New Roman" w:hAnsi="Times New Roman"/>
          <w:b/>
          <w:i w:val="false"/>
          <w:color w:val="000000"/>
          <w:sz w:val="22"/>
        </w:rPr>
        <w:t xml:space="preserve">(256) </w:t>
      </w:r>
      <w:r>
        <w:rPr>
          <w:rFonts w:ascii="Times New Roman" w:hAnsi="Times New Roman"/>
          <w:b/>
          <w:i w:val="false"/>
          <w:color w:val="000000"/>
          <w:sz w:val="22"/>
        </w:rPr>
        <w:t xml:space="preserve">Area and grade levels of administrator endorsements.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18.4(1)</w:t>
      </w:r>
      <w:r>
        <w:rPr>
          <w:rFonts w:ascii="Times New Roman" w:hAnsi="Times New Roman"/>
          <w:b w:val="false"/>
          <w:i w:val="false"/>
          <w:color w:val="000000"/>
          <w:sz w:val="22"/>
        </w:rPr>
        <w:t> </w:t>
      </w:r>
      <w:r>
        <w:rPr>
          <w:rFonts w:ascii="Times New Roman" w:hAnsi="Times New Roman"/>
          <w:b w:val="false"/>
          <w:i/>
          <w:color w:val="000000"/>
          <w:sz w:val="22"/>
        </w:rPr>
        <w:t xml:space="preserve">PK-12 principal and PK-12 supervisor of special education.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Authorization. </w:t>
      </w:r>
      <w:r>
        <w:rPr>
          <w:rFonts w:ascii="Times New Roman" w:hAnsi="Times New Roman"/>
          <w:b w:val="false"/>
          <w:i w:val="false"/>
          <w:color w:val="000000"/>
          <w:sz w:val="22"/>
        </w:rPr>
        <w:t>The holder of this endorsement is authorized to serve as a principal of programs serving children from birth through grade 12, a supervisor of instructional special education programs for children from birth to the age of 21, and a supervisor of support for special education programs for children from birth to the age of 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Program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Degree—master’s.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Content: Completion of a sequence of courses and experiences that may have been a part of, or in addition to, the degree requirements. Candidates who successfully complete a building-level educational leadership preparation program understand and demonstrate the capacity to promote the current and future success and well-being of each student and adult by applying the knowledge, skills, and commitments necessary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Collaboratively lead, design, and implement a school mission, vision, and process for continuous improvement that reflects a core set of values and priorities that include data use, technology, equity, diversity, digital citizenship, and community (Mission, Vision, and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Advocate for ethical decisions and cultivate and enact professional norms (Ethics and Professional Norms).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Develop and maintain a supportive, equitable, culturally responsive, and inclusive school culture (Equity, Inclusiveness, and Cultural Responsiveness) to include meeting the needs of all learners, as well as ensuring teachers meet the needs of diverse learners, including: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Students from diverse ethnic, racial and socioeconomic backgrounds.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Students with disabilities, including preparation in developing and implementing individualized education programs and behavioral intervention plans, preparation for educating individuals in the least restrictive environment and identifying that environment, and strategies that address difficult and violent student behavior and improve academic engagement and achievement.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Students who are struggling with literacy, including those with dyslexia.</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Students who are gifted and talented.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English language learners.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Students who may be at risk of not succeeding in school. This preparation will include classroom management addressing high-risk behaviors including but not limited to behaviors related to substance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Evaluate, develop, and implement coherent systems of curriculum, instruction, data systems, supports, and assessment (Learning and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Strengthen student learning, support school improvement, and advocate for the needs of their school and community (Community and External Leadership).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Improve management, communication, technology, school-level governance, and operation systems to develop and improve data-informed and equitable school resource plans and to apply laws, policies, and regulations, including a dedicated course in current issues of special education administration (Operations and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Build the school’s professional capacity, engage staff in the development of a collaborative professional culture, and improve systems of staff supervision, evaluation, support, and professional learning, including the completion of Iowa evaluator training (Building Professional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an internship under the supervision of knowledgeable, expert practitioners that engages candidates in multiple and diverse school settings and provides candidates with coherent, authentic, and sustained opportunities to synthesize and apply the knowledge and skills pursuant to this rule in ways that approximate the full range of responsibilities required of building-level leaders and enable them to promote the current and future success and well-being of each student and adult in their school, including planned experiences in elementary and secondary administration with special education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Other. </w:t>
      </w:r>
      <w:r>
        <w:rPr>
          <w:rFonts w:ascii="Times New Roman" w:hAnsi="Times New Roman"/>
          <w:b w:val="false"/>
          <w:i w:val="false"/>
          <w:color w:val="000000"/>
          <w:sz w:val="22"/>
        </w:rPr>
        <w:t>The applicant will have three years of experience at the early childhood through grade 12 level while holding a valid teaching license or professional service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18.4(2)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8816C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282—18.5</w:t>
      </w:r>
      <w:r>
        <w:rPr>
          <w:rFonts w:ascii="Times New Roman" w:hAnsi="Times New Roman"/>
          <w:b/>
          <w:i w:val="false"/>
          <w:color w:val="000000"/>
          <w:sz w:val="22"/>
        </w:rPr>
        <w:t xml:space="preserve">(256) </w:t>
      </w:r>
      <w:r>
        <w:rPr>
          <w:rFonts w:ascii="Times New Roman" w:hAnsi="Times New Roman"/>
          <w:b/>
          <w:i w:val="false"/>
          <w:color w:val="000000"/>
          <w:sz w:val="22"/>
        </w:rPr>
        <w:t xml:space="preserve">Superintendent/area education agency (AEA) administrator.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18.5(1)</w:t>
      </w:r>
      <w:r>
        <w:rPr>
          <w:rFonts w:ascii="Times New Roman" w:hAnsi="Times New Roman"/>
          <w:b w:val="false"/>
          <w:i w:val="false"/>
          <w:color w:val="000000"/>
          <w:sz w:val="22"/>
        </w:rPr>
        <w:t> </w:t>
      </w:r>
      <w:r>
        <w:rPr>
          <w:rFonts w:ascii="Times New Roman" w:hAnsi="Times New Roman"/>
          <w:b w:val="false"/>
          <w:i/>
          <w:color w:val="000000"/>
          <w:sz w:val="22"/>
        </w:rPr>
        <w:t xml:space="preserve">Authorization. </w:t>
      </w:r>
      <w:r>
        <w:rPr>
          <w:rFonts w:ascii="Times New Roman" w:hAnsi="Times New Roman"/>
          <w:b w:val="false"/>
          <w:i w:val="false"/>
          <w:color w:val="000000"/>
          <w:sz w:val="22"/>
        </w:rPr>
        <w:t>The holder of this endorsement is authorized to serve as a superintendent from the prekindergarten level through grade 12 or as an AEA administrator. Note: This authorization does not permit general teaching, school service, or administration at any level except that level or area for which the practitioner holds the specific endorsement(s).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18.5(2)</w:t>
      </w:r>
      <w:r>
        <w:rPr>
          <w:rFonts w:ascii="Times New Roman" w:hAnsi="Times New Roman"/>
          <w:b w:val="false"/>
          <w:i w:val="false"/>
          <w:color w:val="000000"/>
          <w:sz w:val="22"/>
        </w:rPr>
        <w:t> </w:t>
      </w:r>
      <w:r>
        <w:rPr>
          <w:rFonts w:ascii="Times New Roman" w:hAnsi="Times New Roman"/>
          <w:b w:val="false"/>
          <w:i/>
          <w:color w:val="000000"/>
          <w:sz w:val="22"/>
        </w:rPr>
        <w:t xml:space="preserve">Program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Degree—specialist (or its equivalent: a master’s degree plus at least 30 semester hours of planned graduate study in administration beyond the master’s degree).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Content. Through completion of a sequence of courses and experiences, which may have been part of, or in addition to, the degree requirements, candidates who successfully complete a district-level educational leadership preparation program understand and demonstrate the capacity to promote the current and future success and well-being of each student and adult by applying the knowledge, skills, and commitments necessary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Collaboratively lead, design, and implement a district mission, vision, and process for continuous improvement that reflects a core set of values and priorities that include data use, technology, values, equity, diversity, digital citizenship, and community (District Mission, Vision, and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Advocate for ethical decisions and cultivate professional norms and culture (Ethics and Professional Norms).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Develop and maintain a supportive, equitable, culturally responsive, and inclusive district culture (Equity, Inclusiveness, and Cultural Responsiveness) to include meeting the needs of all learners, as well as ensuring teachers meet the needs of diverse learners,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Students from diverse ethnic, racial and socioeconomic backgrounds.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Students with disabilities, including preparation in developing and implementing individualized education programs and behavioral intervention plans, preparation for educating individuals in the least restrictive environment and identifying that environment, and strategies that address difficult and violent student behavior and improve academic engagement and achievement.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Students who are struggling with literacy, including those with dyslexia.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Students who are gifted and talented.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English language learners.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Students who may be at risk of not succeeding in school. This preparation will include classroom management addressing high-risk behaviors, including but not limited to behaviors related to substance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Evaluate, design, cultivate, and implement coherent systems of curriculum, instruction, data systems, supports, assessment, and instructional leadership (Learning and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Understand and engage families, communities, and other constituents in the work of schools and the district and to advocate for district, student, and community needs (Community and External Leadership).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Develop, monitor, evaluate, and manage data-informed and equitable district systems for operations, resources, technology, and human capital management, including instructional and noninstructional district support services (Operations and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Cultivate relationships, lead collaborative decision making and governance, and represent and advocate for district needs in broader policy conversations (Policy, Governance, and Advocacy).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an internship under the supervision of knowledgeable, expert practitioners that engages candidates in multiple and diverse district settings and provides candidates with coherent, authentic, and sustained opportunities to synthesize and apply the knowledge and skills identified in this rule in ways that approximate the full range of responsibilities required of district-level leaders and enable them to promote the current and future success and well-being of each student and adult in their district.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18.5(3)</w:t>
      </w:r>
      <w:r>
        <w:rPr>
          <w:rFonts w:ascii="Times New Roman" w:hAnsi="Times New Roman"/>
          <w:b w:val="false"/>
          <w:i w:val="false"/>
          <w:color w:val="000000"/>
          <w:sz w:val="22"/>
        </w:rPr>
        <w:t> </w:t>
      </w:r>
      <w:r>
        <w:rPr>
          <w:rFonts w:ascii="Times New Roman" w:hAnsi="Times New Roman"/>
          <w:b w:val="false"/>
          <w:i/>
          <w:color w:val="000000"/>
          <w:sz w:val="22"/>
        </w:rPr>
        <w:t xml:space="preserve">Administrative experience. </w:t>
      </w:r>
      <w:r>
        <w:rPr>
          <w:rFonts w:ascii="Times New Roman" w:hAnsi="Times New Roman"/>
          <w:b w:val="false"/>
          <w:i w:val="false"/>
          <w:color w:val="000000"/>
          <w:sz w:val="22"/>
        </w:rPr>
        <w:t>The applicant will meet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will have had three years of experience as a building principal while holding a valid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will have three years of administrative experience in any of the following areas: PK-12 regional education agency administrative experience, PK-12 state department of education administrative experience, PK-12 educational licensing board administrative experience or PK-12 building/district administrative experience while holding a valid Iowa administrator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will have six years of teaching and administrative experience, provided that at least two years are teaching experience and one year is administrative experience, all while holding a valid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8816C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282—18.6</w:t>
      </w:r>
      <w:r>
        <w:rPr>
          <w:rFonts w:ascii="Times New Roman" w:hAnsi="Times New Roman"/>
          <w:b/>
          <w:i w:val="false"/>
          <w:color w:val="000000"/>
          <w:sz w:val="22"/>
        </w:rPr>
        <w:t xml:space="preserve">(256) </w:t>
      </w:r>
      <w:r>
        <w:rPr>
          <w:rFonts w:ascii="Times New Roman" w:hAnsi="Times New Roman"/>
          <w:b/>
          <w:i w:val="false"/>
          <w:color w:val="000000"/>
          <w:sz w:val="22"/>
        </w:rPr>
        <w:t xml:space="preserve">Director of special education.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18.6(1)</w:t>
      </w:r>
      <w:r>
        <w:rPr>
          <w:rFonts w:ascii="Times New Roman" w:hAnsi="Times New Roman"/>
          <w:b w:val="false"/>
          <w:i w:val="false"/>
          <w:color w:val="000000"/>
          <w:sz w:val="22"/>
        </w:rPr>
        <w:t> </w:t>
      </w:r>
      <w:r>
        <w:rPr>
          <w:rFonts w:ascii="Times New Roman" w:hAnsi="Times New Roman"/>
          <w:b w:val="false"/>
          <w:i/>
          <w:color w:val="000000"/>
          <w:sz w:val="22"/>
        </w:rPr>
        <w:t xml:space="preserve">Authorization. </w:t>
      </w:r>
      <w:r>
        <w:rPr>
          <w:rFonts w:ascii="Times New Roman" w:hAnsi="Times New Roman"/>
          <w:b w:val="false"/>
          <w:i w:val="false"/>
          <w:color w:val="000000"/>
          <w:sz w:val="22"/>
        </w:rPr>
        <w:t>The holder of this endorsement is authorized to serve as a director of special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18.6(2)</w:t>
      </w:r>
      <w:r>
        <w:rPr>
          <w:rFonts w:ascii="Times New Roman" w:hAnsi="Times New Roman"/>
          <w:b w:val="false"/>
          <w:i w:val="false"/>
          <w:color w:val="000000"/>
          <w:sz w:val="22"/>
        </w:rPr>
        <w:t> </w:t>
      </w:r>
      <w:r>
        <w:rPr>
          <w:rFonts w:ascii="Times New Roman" w:hAnsi="Times New Roman"/>
          <w:b w:val="false"/>
          <w:i/>
          <w:color w:val="000000"/>
          <w:sz w:val="22"/>
        </w:rPr>
        <w:t xml:space="preserve">Program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Degree—master’s.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Endorsement. An applicant will hold or meet the requirements for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PK-12 principal and PK-12 supervisor of special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Superintendent/AEA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Supervisor of special education—instructional;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Professional service administrator;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letter of authorization for the special education supervisor issued prior to October 1, 1988.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Content. An applicant will have completed a sequence of courses and experiences of at least 15 additional semester hours to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Knowledge of current issues in special education and administration, supervision, and evaluation of special education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Knowledge of special education school law and legislative and public policy issues affecting children and families including special education ethics.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Mediation and conflict resolution in special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Knowledge of the powers and duties of the director of special education pursuant to Iowa Code section </w:t>
      </w:r>
      <w:hyperlink r:id="rId10">
        <w:r>
          <w:rPr>
            <w:rStyle w:val="Hyperlink"/>
            <w:rFonts w:ascii="Times New Roman" w:hAnsi="Times New Roman"/>
            <w:b w:val="false"/>
            <w:i w:val="false"/>
            <w:color w:val="000000"/>
            <w:sz w:val="22"/>
          </w:rPr>
          <w:t>273.5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Practicum in administration, supervision, and evaluation of special education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18.6(3)</w:t>
      </w:r>
      <w:r>
        <w:rPr>
          <w:rFonts w:ascii="Times New Roman" w:hAnsi="Times New Roman"/>
          <w:b w:val="false"/>
          <w:i w:val="false"/>
          <w:color w:val="000000"/>
          <w:sz w:val="22"/>
        </w:rPr>
        <w:t> </w:t>
      </w:r>
      <w:r>
        <w:rPr>
          <w:rFonts w:ascii="Times New Roman" w:hAnsi="Times New Roman"/>
          <w:b w:val="false"/>
          <w:i/>
          <w:color w:val="000000"/>
          <w:sz w:val="22"/>
        </w:rPr>
        <w:t xml:space="preserve">Other.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Option 1: Instructional. </w:t>
      </w:r>
      <w:r>
        <w:rPr>
          <w:rFonts w:ascii="Times New Roman" w:hAnsi="Times New Roman"/>
          <w:b w:val="false"/>
          <w:i w:val="false"/>
          <w:color w:val="000000"/>
          <w:sz w:val="22"/>
        </w:rPr>
        <w:t>An applicant will hold a special education endorsement and have two years of teaching experience in special education or hold an administrator license with two years of experience in the administration of special education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Option 2: Support. </w:t>
      </w:r>
      <w:r>
        <w:rPr>
          <w:rFonts w:ascii="Times New Roman" w:hAnsi="Times New Roman"/>
          <w:b w:val="false"/>
          <w:i w:val="false"/>
          <w:color w:val="000000"/>
          <w:sz w:val="22"/>
        </w:rPr>
        <w:t>An applicant will meet the practitioner licensure requirements for one of the following endorsements and have three years of experience as 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School audiologist;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School psychologist;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School social worker;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Speech-language pathologist.</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An individual holding a statement of professional recognition is not eligible for the director of special education endorsement.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8816C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1">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12/24/08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10/22/08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2/18/09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8141B</w:t>
      </w:r>
      <w:r>
        <w:rPr>
          <w:rFonts w:ascii="Times New Roman" w:hAnsi="Times New Roman"/>
          <w:b w:val="false"/>
          <w:i w:val="false"/>
          <w:color w:val="000000"/>
          <w:sz w:val="21"/>
        </w:rPr>
        <w:t xml:space="preserve"> (Notice ARC 7873B, IAB 6/17/09)</w:t>
      </w:r>
      <w:r>
        <w:rPr>
          <w:rFonts w:ascii="Times New Roman" w:hAnsi="Times New Roman"/>
          <w:b w:val="false"/>
          <w:i w:val="false"/>
          <w:color w:val="000000"/>
          <w:sz w:val="21"/>
        </w:rPr>
        <w:t>, IAB 9/9/09, effective 10/14/09]</w:t>
      </w:r>
      <w:r>
        <w:br/>
      </w:r>
      <w:r>
        <w:rPr>
          <w:rFonts w:ascii="Times New Roman" w:hAnsi="Times New Roman"/>
          <w:b w:val="false"/>
          <w:i w:val="false"/>
          <w:color w:val="000000"/>
          <w:sz w:val="21"/>
        </w:rPr>
        <w:t>[Filed ARC 8142B</w:t>
      </w:r>
      <w:r>
        <w:rPr>
          <w:rFonts w:ascii="Times New Roman" w:hAnsi="Times New Roman"/>
          <w:b w:val="false"/>
          <w:i w:val="false"/>
          <w:color w:val="000000"/>
          <w:sz w:val="21"/>
        </w:rPr>
        <w:t xml:space="preserve"> (Notice ARC 7874B, IAB 6/17/09)</w:t>
      </w:r>
      <w:r>
        <w:rPr>
          <w:rFonts w:ascii="Times New Roman" w:hAnsi="Times New Roman"/>
          <w:b w:val="false"/>
          <w:i w:val="false"/>
          <w:color w:val="000000"/>
          <w:sz w:val="21"/>
        </w:rPr>
        <w:t>, IAB 9/9/09, effective 10/14/09]</w:t>
      </w:r>
    </w:p>
    <w:p>
      <w:pPr>
        <w:spacing w:before="0" w:after="0"/>
        <w:ind w:left="120"/>
        <w:jc w:val="center"/>
      </w:pPr>
      <w:r>
        <w:rPr>
          <w:rFonts w:ascii="Times New Roman" w:hAnsi="Times New Roman"/>
          <w:b w:val="false"/>
          <w:i w:val="false"/>
          <w:color w:val="000000"/>
          <w:sz w:val="21"/>
        </w:rPr>
        <w:t>[Filed Emergency ARC 8248B, IAB 11/4/09, effective 10/12/09]</w:t>
      </w:r>
    </w:p>
    <w:p>
      <w:pPr>
        <w:spacing w:before="0" w:after="0"/>
        <w:ind w:left="120"/>
        <w:jc w:val="center"/>
      </w:pPr>
      <w:r>
        <w:rPr>
          <w:rFonts w:ascii="Times New Roman" w:hAnsi="Times New Roman"/>
          <w:b w:val="false"/>
          <w:i w:val="false"/>
          <w:color w:val="000000"/>
          <w:sz w:val="21"/>
        </w:rPr>
        <w:t>[Filed ARC 8958B</w:t>
      </w:r>
      <w:r>
        <w:rPr>
          <w:rFonts w:ascii="Times New Roman" w:hAnsi="Times New Roman"/>
          <w:b w:val="false"/>
          <w:i w:val="false"/>
          <w:color w:val="000000"/>
          <w:sz w:val="21"/>
        </w:rPr>
        <w:t xml:space="preserve"> (Notice ARC 8687B, IAB 4/7/10)</w:t>
      </w:r>
      <w:r>
        <w:rPr>
          <w:rFonts w:ascii="Times New Roman" w:hAnsi="Times New Roman"/>
          <w:b w:val="false"/>
          <w:i w:val="false"/>
          <w:color w:val="000000"/>
          <w:sz w:val="21"/>
        </w:rPr>
        <w:t>, IAB 7/28/10, effective 9/1/10]</w:t>
      </w:r>
    </w:p>
    <w:p>
      <w:pPr>
        <w:spacing w:before="0" w:after="0"/>
        <w:ind w:left="120"/>
        <w:jc w:val="center"/>
      </w:pPr>
      <w:r>
        <w:rPr>
          <w:rFonts w:ascii="Times New Roman" w:hAnsi="Times New Roman"/>
          <w:b w:val="false"/>
          <w:i w:val="false"/>
          <w:color w:val="000000"/>
          <w:sz w:val="21"/>
        </w:rPr>
        <w:t>[Filed ARC 9075B</w:t>
      </w:r>
      <w:r>
        <w:rPr>
          <w:rFonts w:ascii="Times New Roman" w:hAnsi="Times New Roman"/>
          <w:b w:val="false"/>
          <w:i w:val="false"/>
          <w:color w:val="000000"/>
          <w:sz w:val="21"/>
        </w:rPr>
        <w:t xml:space="preserve"> (Notice ARC 8830B, IAB 6/2/10)</w:t>
      </w:r>
      <w:r>
        <w:rPr>
          <w:rFonts w:ascii="Times New Roman" w:hAnsi="Times New Roman"/>
          <w:b w:val="false"/>
          <w:i w:val="false"/>
          <w:color w:val="000000"/>
          <w:sz w:val="21"/>
        </w:rPr>
        <w:t>, IAB 9/8/10, effective 10/13/10]</w:t>
      </w:r>
    </w:p>
    <w:p>
      <w:pPr>
        <w:spacing w:before="0" w:after="0"/>
        <w:ind w:left="120"/>
        <w:jc w:val="center"/>
      </w:pPr>
      <w:r>
        <w:rPr>
          <w:rFonts w:ascii="Times New Roman" w:hAnsi="Times New Roman"/>
          <w:b w:val="false"/>
          <w:i w:val="false"/>
          <w:color w:val="000000"/>
          <w:sz w:val="21"/>
        </w:rPr>
        <w:t>[Filed ARC 9383B</w:t>
      </w:r>
      <w:r>
        <w:rPr>
          <w:rFonts w:ascii="Times New Roman" w:hAnsi="Times New Roman"/>
          <w:b w:val="false"/>
          <w:i w:val="false"/>
          <w:color w:val="000000"/>
          <w:sz w:val="21"/>
        </w:rPr>
        <w:t xml:space="preserve"> (Notice ARC 9199B, IAB 11/3/10)</w:t>
      </w:r>
      <w:r>
        <w:rPr>
          <w:rFonts w:ascii="Times New Roman" w:hAnsi="Times New Roman"/>
          <w:b w:val="false"/>
          <w:i w:val="false"/>
          <w:color w:val="000000"/>
          <w:sz w:val="21"/>
        </w:rPr>
        <w:t>, IAB 2/23/11, effective 3/30/11]</w:t>
      </w:r>
      <w:r>
        <w:br/>
      </w:r>
      <w:r>
        <w:rPr>
          <w:rFonts w:ascii="Times New Roman" w:hAnsi="Times New Roman"/>
          <w:b w:val="false"/>
          <w:i w:val="false"/>
          <w:color w:val="000000"/>
          <w:sz w:val="21"/>
        </w:rPr>
        <w:t>[Filed ARC 9384B</w:t>
      </w:r>
      <w:r>
        <w:rPr>
          <w:rFonts w:ascii="Times New Roman" w:hAnsi="Times New Roman"/>
          <w:b w:val="false"/>
          <w:i w:val="false"/>
          <w:color w:val="000000"/>
          <w:sz w:val="21"/>
        </w:rPr>
        <w:t xml:space="preserve"> (Notice ARC 9200B, IAB 11/3/10)</w:t>
      </w:r>
      <w:r>
        <w:rPr>
          <w:rFonts w:ascii="Times New Roman" w:hAnsi="Times New Roman"/>
          <w:b w:val="false"/>
          <w:i w:val="false"/>
          <w:color w:val="000000"/>
          <w:sz w:val="21"/>
        </w:rPr>
        <w:t>, IAB 2/23/11, effective 3/30/11]</w:t>
      </w:r>
      <w:r>
        <w:br/>
      </w:r>
      <w:r>
        <w:rPr>
          <w:rFonts w:ascii="Times New Roman" w:hAnsi="Times New Roman"/>
          <w:b w:val="false"/>
          <w:i w:val="false"/>
          <w:color w:val="000000"/>
          <w:sz w:val="21"/>
        </w:rPr>
        <w:t>[Filed ARC 9385B</w:t>
      </w:r>
      <w:r>
        <w:rPr>
          <w:rFonts w:ascii="Times New Roman" w:hAnsi="Times New Roman"/>
          <w:b w:val="false"/>
          <w:i w:val="false"/>
          <w:color w:val="000000"/>
          <w:sz w:val="21"/>
        </w:rPr>
        <w:t xml:space="preserve"> (Notice ARC 9201B, IAB 11/3/10)</w:t>
      </w:r>
      <w:r>
        <w:rPr>
          <w:rFonts w:ascii="Times New Roman" w:hAnsi="Times New Roman"/>
          <w:b w:val="false"/>
          <w:i w:val="false"/>
          <w:color w:val="000000"/>
          <w:sz w:val="21"/>
        </w:rPr>
        <w:t>, IAB 2/23/11, effective 3/30/11]</w:t>
      </w:r>
    </w:p>
    <w:p>
      <w:pPr>
        <w:spacing w:before="0" w:after="0"/>
        <w:ind w:left="120"/>
        <w:jc w:val="center"/>
      </w:pPr>
      <w:r>
        <w:rPr>
          <w:rFonts w:ascii="Times New Roman" w:hAnsi="Times New Roman"/>
          <w:b w:val="false"/>
          <w:i w:val="false"/>
          <w:color w:val="000000"/>
          <w:sz w:val="21"/>
        </w:rPr>
        <w:t>[Filed ARC 9453B</w:t>
      </w:r>
      <w:r>
        <w:rPr>
          <w:rFonts w:ascii="Times New Roman" w:hAnsi="Times New Roman"/>
          <w:b w:val="false"/>
          <w:i w:val="false"/>
          <w:color w:val="000000"/>
          <w:sz w:val="21"/>
        </w:rPr>
        <w:t xml:space="preserve"> (Notice ARC 9306B, IAB 12/29/10)</w:t>
      </w:r>
      <w:r>
        <w:rPr>
          <w:rFonts w:ascii="Times New Roman" w:hAnsi="Times New Roman"/>
          <w:b w:val="false"/>
          <w:i w:val="false"/>
          <w:color w:val="000000"/>
          <w:sz w:val="21"/>
        </w:rPr>
        <w:t>, IAB 4/6/11, effective 5/11/11]</w:t>
      </w:r>
    </w:p>
    <w:p>
      <w:pPr>
        <w:spacing w:before="0" w:after="0"/>
        <w:ind w:left="120"/>
        <w:jc w:val="center"/>
      </w:pPr>
      <w:r>
        <w:rPr>
          <w:rFonts w:ascii="Times New Roman" w:hAnsi="Times New Roman"/>
          <w:b w:val="false"/>
          <w:i w:val="false"/>
          <w:color w:val="000000"/>
          <w:sz w:val="21"/>
        </w:rPr>
        <w:t>[Filed ARC 0564C</w:t>
      </w:r>
      <w:r>
        <w:rPr>
          <w:rFonts w:ascii="Times New Roman" w:hAnsi="Times New Roman"/>
          <w:b w:val="false"/>
          <w:i w:val="false"/>
          <w:color w:val="000000"/>
          <w:sz w:val="21"/>
        </w:rPr>
        <w:t xml:space="preserve"> (Notice ARC 0444C, IAB 11/14/12)</w:t>
      </w:r>
      <w:r>
        <w:rPr>
          <w:rFonts w:ascii="Times New Roman" w:hAnsi="Times New Roman"/>
          <w:b w:val="false"/>
          <w:i w:val="false"/>
          <w:color w:val="000000"/>
          <w:sz w:val="21"/>
        </w:rPr>
        <w:t>, IAB 1/23/13, effective 2/27/13]</w:t>
      </w:r>
    </w:p>
    <w:p>
      <w:pPr>
        <w:spacing w:before="0" w:after="0"/>
        <w:ind w:left="120"/>
        <w:jc w:val="center"/>
      </w:pPr>
      <w:r>
        <w:rPr>
          <w:rFonts w:ascii="Times New Roman" w:hAnsi="Times New Roman"/>
          <w:b w:val="false"/>
          <w:i w:val="false"/>
          <w:color w:val="000000"/>
          <w:sz w:val="21"/>
        </w:rPr>
        <w:t>[Filed ARC 0607C</w:t>
      </w:r>
      <w:r>
        <w:rPr>
          <w:rFonts w:ascii="Times New Roman" w:hAnsi="Times New Roman"/>
          <w:b w:val="false"/>
          <w:i w:val="false"/>
          <w:color w:val="000000"/>
          <w:sz w:val="21"/>
        </w:rPr>
        <w:t xml:space="preserve"> (Notice ARC 0493C, IAB 12/12/12)</w:t>
      </w:r>
      <w:r>
        <w:rPr>
          <w:rFonts w:ascii="Times New Roman" w:hAnsi="Times New Roman"/>
          <w:b w:val="false"/>
          <w:i w:val="false"/>
          <w:color w:val="000000"/>
          <w:sz w:val="21"/>
        </w:rPr>
        <w:t>, IAB 2/20/13, effective 3/27/13]</w:t>
      </w:r>
    </w:p>
    <w:p>
      <w:pPr>
        <w:spacing w:before="0" w:after="0"/>
        <w:ind w:left="120"/>
        <w:jc w:val="center"/>
      </w:pPr>
      <w:r>
        <w:rPr>
          <w:rFonts w:ascii="Times New Roman" w:hAnsi="Times New Roman"/>
          <w:b w:val="false"/>
          <w:i w:val="false"/>
          <w:color w:val="000000"/>
          <w:sz w:val="21"/>
        </w:rPr>
        <w:t>[Filed ARC 0872C</w:t>
      </w:r>
      <w:r>
        <w:rPr>
          <w:rFonts w:ascii="Times New Roman" w:hAnsi="Times New Roman"/>
          <w:b w:val="false"/>
          <w:i w:val="false"/>
          <w:color w:val="000000"/>
          <w:sz w:val="21"/>
        </w:rPr>
        <w:t xml:space="preserve"> (Notice ARC 0703C, IAB 5/1/13)</w:t>
      </w:r>
      <w:r>
        <w:rPr>
          <w:rFonts w:ascii="Times New Roman" w:hAnsi="Times New Roman"/>
          <w:b w:val="false"/>
          <w:i w:val="false"/>
          <w:color w:val="000000"/>
          <w:sz w:val="21"/>
        </w:rPr>
        <w:t>, IAB 7/24/13, effective 8/28/13]</w:t>
      </w:r>
      <w:r>
        <w:br/>
      </w:r>
      <w:r>
        <w:rPr>
          <w:rFonts w:ascii="Times New Roman" w:hAnsi="Times New Roman"/>
          <w:b w:val="false"/>
          <w:i w:val="false"/>
          <w:color w:val="000000"/>
          <w:sz w:val="21"/>
        </w:rPr>
        <w:t>[Filed ARC 0874C</w:t>
      </w:r>
      <w:r>
        <w:rPr>
          <w:rFonts w:ascii="Times New Roman" w:hAnsi="Times New Roman"/>
          <w:b w:val="false"/>
          <w:i w:val="false"/>
          <w:color w:val="000000"/>
          <w:sz w:val="21"/>
        </w:rPr>
        <w:t xml:space="preserve"> (Notice ARC 0701C, IAB 5/1/13)</w:t>
      </w:r>
      <w:r>
        <w:rPr>
          <w:rFonts w:ascii="Times New Roman" w:hAnsi="Times New Roman"/>
          <w:b w:val="false"/>
          <w:i w:val="false"/>
          <w:color w:val="000000"/>
          <w:sz w:val="21"/>
        </w:rPr>
        <w:t>, IAB 7/24/13, effective 8/28/13]</w:t>
      </w:r>
    </w:p>
    <w:p>
      <w:pPr>
        <w:spacing w:before="0" w:after="0"/>
        <w:ind w:left="120"/>
        <w:jc w:val="center"/>
      </w:pPr>
      <w:r>
        <w:rPr>
          <w:rFonts w:ascii="Times New Roman" w:hAnsi="Times New Roman"/>
          <w:b w:val="false"/>
          <w:i w:val="false"/>
          <w:color w:val="000000"/>
          <w:sz w:val="21"/>
        </w:rPr>
        <w:t>[Filed ARC 1167C</w:t>
      </w:r>
      <w:r>
        <w:rPr>
          <w:rFonts w:ascii="Times New Roman" w:hAnsi="Times New Roman"/>
          <w:b w:val="false"/>
          <w:i w:val="false"/>
          <w:color w:val="000000"/>
          <w:sz w:val="21"/>
        </w:rPr>
        <w:t xml:space="preserve"> (Notice ARC 0988C, IAB 9/4/13)</w:t>
      </w:r>
      <w:r>
        <w:rPr>
          <w:rFonts w:ascii="Times New Roman" w:hAnsi="Times New Roman"/>
          <w:b w:val="false"/>
          <w:i w:val="false"/>
          <w:color w:val="000000"/>
          <w:sz w:val="21"/>
        </w:rPr>
        <w:t>, IAB 11/13/13, effective 12/18/13]</w:t>
      </w:r>
    </w:p>
    <w:p>
      <w:pPr>
        <w:spacing w:before="0" w:after="0"/>
        <w:ind w:left="120"/>
        <w:jc w:val="center"/>
      </w:pPr>
      <w:r>
        <w:rPr>
          <w:rFonts w:ascii="Times New Roman" w:hAnsi="Times New Roman"/>
          <w:b w:val="false"/>
          <w:i w:val="false"/>
          <w:color w:val="000000"/>
          <w:sz w:val="21"/>
        </w:rPr>
        <w:t>[Filed ARC 1326C</w:t>
      </w:r>
      <w:r>
        <w:rPr>
          <w:rFonts w:ascii="Times New Roman" w:hAnsi="Times New Roman"/>
          <w:b w:val="false"/>
          <w:i w:val="false"/>
          <w:color w:val="000000"/>
          <w:sz w:val="21"/>
        </w:rPr>
        <w:t xml:space="preserve"> (Notice ARC 1234C, IAB 12/11/13)</w:t>
      </w:r>
      <w:r>
        <w:rPr>
          <w:rFonts w:ascii="Times New Roman" w:hAnsi="Times New Roman"/>
          <w:b w:val="false"/>
          <w:i w:val="false"/>
          <w:color w:val="000000"/>
          <w:sz w:val="21"/>
        </w:rPr>
        <w:t>, IAB 2/19/14, effective 3/26/14]</w:t>
      </w:r>
    </w:p>
    <w:p>
      <w:pPr>
        <w:spacing w:before="0" w:after="0"/>
        <w:ind w:left="120"/>
        <w:jc w:val="center"/>
      </w:pPr>
      <w:r>
        <w:rPr>
          <w:rFonts w:ascii="Times New Roman" w:hAnsi="Times New Roman"/>
          <w:b w:val="false"/>
          <w:i w:val="false"/>
          <w:color w:val="000000"/>
          <w:sz w:val="21"/>
        </w:rPr>
        <w:t>[Filed ARC 2016C</w:t>
      </w:r>
      <w:r>
        <w:rPr>
          <w:rFonts w:ascii="Times New Roman" w:hAnsi="Times New Roman"/>
          <w:b w:val="false"/>
          <w:i w:val="false"/>
          <w:color w:val="000000"/>
          <w:sz w:val="21"/>
        </w:rPr>
        <w:t xml:space="preserve"> (Notice ARC 1918C, IAB 3/18/15)</w:t>
      </w:r>
      <w:r>
        <w:rPr>
          <w:rFonts w:ascii="Times New Roman" w:hAnsi="Times New Roman"/>
          <w:b w:val="false"/>
          <w:i w:val="false"/>
          <w:color w:val="000000"/>
          <w:sz w:val="21"/>
        </w:rPr>
        <w:t>, IAB 6/10/15, effective 7/15/15]</w:t>
      </w:r>
    </w:p>
    <w:p>
      <w:pPr>
        <w:spacing w:before="0" w:after="0"/>
        <w:ind w:left="120"/>
        <w:jc w:val="center"/>
      </w:pPr>
      <w:r>
        <w:rPr>
          <w:rFonts w:ascii="Times New Roman" w:hAnsi="Times New Roman"/>
          <w:b w:val="false"/>
          <w:i w:val="false"/>
          <w:color w:val="000000"/>
          <w:sz w:val="21"/>
        </w:rPr>
        <w:t>[Filed ARC 2230C</w:t>
      </w:r>
      <w:r>
        <w:rPr>
          <w:rFonts w:ascii="Times New Roman" w:hAnsi="Times New Roman"/>
          <w:b w:val="false"/>
          <w:i w:val="false"/>
          <w:color w:val="000000"/>
          <w:sz w:val="21"/>
        </w:rPr>
        <w:t xml:space="preserve"> (Notice ARC 2130C, IAB 9/2/15)</w:t>
      </w:r>
      <w:r>
        <w:rPr>
          <w:rFonts w:ascii="Times New Roman" w:hAnsi="Times New Roman"/>
          <w:b w:val="false"/>
          <w:i w:val="false"/>
          <w:color w:val="000000"/>
          <w:sz w:val="21"/>
        </w:rPr>
        <w:t>, IAB 11/11/15, effective 12/16/15]</w:t>
      </w:r>
    </w:p>
    <w:p>
      <w:pPr>
        <w:spacing w:before="0" w:after="0"/>
        <w:ind w:left="120"/>
        <w:jc w:val="center"/>
      </w:pPr>
      <w:r>
        <w:rPr>
          <w:rFonts w:ascii="Times New Roman" w:hAnsi="Times New Roman"/>
          <w:b w:val="false"/>
          <w:i w:val="false"/>
          <w:color w:val="000000"/>
          <w:sz w:val="21"/>
        </w:rPr>
        <w:t>[Filed ARC 2631C</w:t>
      </w:r>
      <w:r>
        <w:rPr>
          <w:rFonts w:ascii="Times New Roman" w:hAnsi="Times New Roman"/>
          <w:b w:val="false"/>
          <w:i w:val="false"/>
          <w:color w:val="000000"/>
          <w:sz w:val="21"/>
        </w:rPr>
        <w:t xml:space="preserve"> (Notice ARC 2454C, IAB 3/16/16)</w:t>
      </w:r>
      <w:r>
        <w:rPr>
          <w:rFonts w:ascii="Times New Roman" w:hAnsi="Times New Roman"/>
          <w:b w:val="false"/>
          <w:i w:val="false"/>
          <w:color w:val="000000"/>
          <w:sz w:val="21"/>
        </w:rPr>
        <w:t>, IAB 7/20/16, effective 8/24/16]</w:t>
      </w:r>
    </w:p>
    <w:p>
      <w:pPr>
        <w:spacing w:before="0" w:after="0"/>
        <w:ind w:left="120"/>
        <w:jc w:val="center"/>
      </w:pPr>
      <w:r>
        <w:rPr>
          <w:rFonts w:ascii="Times New Roman" w:hAnsi="Times New Roman"/>
          <w:b w:val="false"/>
          <w:i w:val="false"/>
          <w:color w:val="000000"/>
          <w:sz w:val="21"/>
        </w:rPr>
        <w:t>[Filed ARC 3196C</w:t>
      </w:r>
      <w:r>
        <w:rPr>
          <w:rFonts w:ascii="Times New Roman" w:hAnsi="Times New Roman"/>
          <w:b w:val="false"/>
          <w:i w:val="false"/>
          <w:color w:val="000000"/>
          <w:sz w:val="21"/>
        </w:rPr>
        <w:t xml:space="preserve"> (Notice ARC 3012C, IAB 4/12/17)</w:t>
      </w:r>
      <w:r>
        <w:rPr>
          <w:rFonts w:ascii="Times New Roman" w:hAnsi="Times New Roman"/>
          <w:b w:val="false"/>
          <w:i w:val="false"/>
          <w:color w:val="000000"/>
          <w:sz w:val="21"/>
        </w:rPr>
        <w:t>, IAB 7/5/17, effective 8/9/17]</w:t>
      </w:r>
    </w:p>
    <w:p>
      <w:pPr>
        <w:spacing w:before="0" w:after="0"/>
        <w:ind w:left="120"/>
        <w:jc w:val="center"/>
      </w:pPr>
      <w:r>
        <w:rPr>
          <w:rFonts w:ascii="Times New Roman" w:hAnsi="Times New Roman"/>
          <w:b w:val="false"/>
          <w:i w:val="false"/>
          <w:color w:val="000000"/>
          <w:sz w:val="21"/>
        </w:rPr>
        <w:t>[Filed ARC 3633C</w:t>
      </w:r>
      <w:r>
        <w:rPr>
          <w:rFonts w:ascii="Times New Roman" w:hAnsi="Times New Roman"/>
          <w:b w:val="false"/>
          <w:i w:val="false"/>
          <w:color w:val="000000"/>
          <w:sz w:val="21"/>
        </w:rPr>
        <w:t xml:space="preserve"> (Notice ARC 3471C, IAB 12/6/17)</w:t>
      </w:r>
      <w:r>
        <w:rPr>
          <w:rFonts w:ascii="Times New Roman" w:hAnsi="Times New Roman"/>
          <w:b w:val="false"/>
          <w:i w:val="false"/>
          <w:color w:val="000000"/>
          <w:sz w:val="21"/>
        </w:rPr>
        <w:t>, IAB 2/14/18, effective 3/21/18]</w:t>
      </w:r>
    </w:p>
    <w:p>
      <w:pPr>
        <w:spacing w:before="0" w:after="0"/>
        <w:ind w:left="120"/>
        <w:jc w:val="center"/>
      </w:pPr>
      <w:r>
        <w:rPr>
          <w:rFonts w:ascii="Times New Roman" w:hAnsi="Times New Roman"/>
          <w:b w:val="false"/>
          <w:i w:val="false"/>
          <w:color w:val="000000"/>
          <w:sz w:val="21"/>
        </w:rPr>
        <w:t>[Filed ARC 3829C</w:t>
      </w:r>
      <w:r>
        <w:rPr>
          <w:rFonts w:ascii="Times New Roman" w:hAnsi="Times New Roman"/>
          <w:b w:val="false"/>
          <w:i w:val="false"/>
          <w:color w:val="000000"/>
          <w:sz w:val="21"/>
        </w:rPr>
        <w:t xml:space="preserve"> (Notice ARC 3710C, IAB 3/28/18)</w:t>
      </w:r>
      <w:r>
        <w:rPr>
          <w:rFonts w:ascii="Times New Roman" w:hAnsi="Times New Roman"/>
          <w:b w:val="false"/>
          <w:i w:val="false"/>
          <w:color w:val="000000"/>
          <w:sz w:val="21"/>
        </w:rPr>
        <w:t>, IAB 6/6/18, effective 7/11/18]</w:t>
      </w:r>
    </w:p>
    <w:p>
      <w:pPr>
        <w:spacing w:before="0" w:after="0"/>
        <w:ind w:left="120"/>
        <w:jc w:val="center"/>
      </w:pPr>
      <w:r>
        <w:rPr>
          <w:rFonts w:ascii="Times New Roman" w:hAnsi="Times New Roman"/>
          <w:b w:val="false"/>
          <w:i w:val="false"/>
          <w:color w:val="000000"/>
          <w:sz w:val="21"/>
        </w:rPr>
        <w:t>[Filed ARC 3979C</w:t>
      </w:r>
      <w:r>
        <w:rPr>
          <w:rFonts w:ascii="Times New Roman" w:hAnsi="Times New Roman"/>
          <w:b w:val="false"/>
          <w:i w:val="false"/>
          <w:color w:val="000000"/>
          <w:sz w:val="21"/>
        </w:rPr>
        <w:t xml:space="preserve"> (Notice ARC 3827C, IAB 6/6/18)</w:t>
      </w:r>
      <w:r>
        <w:rPr>
          <w:rFonts w:ascii="Times New Roman" w:hAnsi="Times New Roman"/>
          <w:b w:val="false"/>
          <w:i w:val="false"/>
          <w:color w:val="000000"/>
          <w:sz w:val="21"/>
        </w:rPr>
        <w:t>, IAB 8/29/18, effective 10/3/18]</w:t>
      </w:r>
    </w:p>
    <w:p>
      <w:pPr>
        <w:spacing w:before="0" w:after="0"/>
        <w:ind w:left="120"/>
        <w:jc w:val="center"/>
      </w:pPr>
      <w:r>
        <w:rPr>
          <w:rFonts w:ascii="Times New Roman" w:hAnsi="Times New Roman"/>
          <w:b w:val="false"/>
          <w:i w:val="false"/>
          <w:color w:val="000000"/>
          <w:sz w:val="21"/>
        </w:rPr>
        <w:t>[Filed ARC 5322C</w:t>
      </w:r>
      <w:r>
        <w:rPr>
          <w:rFonts w:ascii="Times New Roman" w:hAnsi="Times New Roman"/>
          <w:b w:val="false"/>
          <w:i w:val="false"/>
          <w:color w:val="000000"/>
          <w:sz w:val="21"/>
        </w:rPr>
        <w:t xml:space="preserve"> (Notice ARC 5212C, IAB 10/7/20)</w:t>
      </w:r>
      <w:r>
        <w:rPr>
          <w:rFonts w:ascii="Times New Roman" w:hAnsi="Times New Roman"/>
          <w:b w:val="false"/>
          <w:i w:val="false"/>
          <w:color w:val="000000"/>
          <w:sz w:val="21"/>
        </w:rPr>
        <w:t>, IAB 12/16/20, effective 1/20/21]</w:t>
      </w:r>
      <w:r>
        <w:br/>
      </w:r>
      <w:r>
        <w:rPr>
          <w:rFonts w:ascii="Times New Roman" w:hAnsi="Times New Roman"/>
          <w:b w:val="false"/>
          <w:i w:val="false"/>
          <w:color w:val="000000"/>
          <w:sz w:val="21"/>
        </w:rPr>
        <w:t>[Filed ARC 5321C</w:t>
      </w:r>
      <w:r>
        <w:rPr>
          <w:rFonts w:ascii="Times New Roman" w:hAnsi="Times New Roman"/>
          <w:b w:val="false"/>
          <w:i w:val="false"/>
          <w:color w:val="000000"/>
          <w:sz w:val="21"/>
        </w:rPr>
        <w:t xml:space="preserve"> (Notice ARC 5216C, IAB 10/7/20)</w:t>
      </w:r>
      <w:r>
        <w:rPr>
          <w:rFonts w:ascii="Times New Roman" w:hAnsi="Times New Roman"/>
          <w:b w:val="false"/>
          <w:i w:val="false"/>
          <w:color w:val="000000"/>
          <w:sz w:val="21"/>
        </w:rPr>
        <w:t>, IAB 12/16/20, effective 1/20/21]</w:t>
      </w:r>
    </w:p>
    <w:p>
      <w:pPr>
        <w:spacing w:before="0" w:after="0"/>
        <w:ind w:left="120"/>
        <w:jc w:val="center"/>
      </w:pPr>
      <w:r>
        <w:rPr>
          <w:rFonts w:ascii="Times New Roman" w:hAnsi="Times New Roman"/>
          <w:b w:val="false"/>
          <w:i w:val="false"/>
          <w:color w:val="000000"/>
          <w:sz w:val="21"/>
        </w:rPr>
        <w:t>[Filed ARC 5803C</w:t>
      </w:r>
      <w:r>
        <w:rPr>
          <w:rFonts w:ascii="Times New Roman" w:hAnsi="Times New Roman"/>
          <w:b w:val="false"/>
          <w:i w:val="false"/>
          <w:color w:val="000000"/>
          <w:sz w:val="21"/>
        </w:rPr>
        <w:t xml:space="preserve"> (Notice ARC 5665C, IAB 6/2/21)</w:t>
      </w:r>
      <w:r>
        <w:rPr>
          <w:rFonts w:ascii="Times New Roman" w:hAnsi="Times New Roman"/>
          <w:b w:val="false"/>
          <w:i w:val="false"/>
          <w:color w:val="000000"/>
          <w:sz w:val="21"/>
        </w:rPr>
        <w:t>, IAB 7/28/21, effective 9/1/21]</w:t>
      </w:r>
    </w:p>
    <w:p>
      <w:pPr>
        <w:spacing w:before="0" w:after="0"/>
        <w:ind w:left="120"/>
        <w:jc w:val="center"/>
      </w:pPr>
      <w:r>
        <w:rPr>
          <w:rFonts w:ascii="Times New Roman" w:hAnsi="Times New Roman"/>
          <w:b w:val="false"/>
          <w:i w:val="false"/>
          <w:color w:val="000000"/>
          <w:sz w:val="21"/>
        </w:rPr>
        <w:t>[Filed ARC 6245C</w:t>
      </w:r>
      <w:r>
        <w:rPr>
          <w:rFonts w:ascii="Times New Roman" w:hAnsi="Times New Roman"/>
          <w:b w:val="false"/>
          <w:i w:val="false"/>
          <w:color w:val="000000"/>
          <w:sz w:val="21"/>
        </w:rPr>
        <w:t xml:space="preserve"> (Notice ARC 6133C, IAB 1/12/22)</w:t>
      </w:r>
      <w:r>
        <w:rPr>
          <w:rFonts w:ascii="Times New Roman" w:hAnsi="Times New Roman"/>
          <w:b w:val="false"/>
          <w:i w:val="false"/>
          <w:color w:val="000000"/>
          <w:sz w:val="21"/>
        </w:rPr>
        <w:t>, IAB 3/23/22, effective 4/27/22]</w:t>
      </w:r>
    </w:p>
    <w:p>
      <w:pPr>
        <w:spacing w:before="0" w:after="0"/>
        <w:ind w:left="120"/>
        <w:jc w:val="center"/>
      </w:pPr>
      <w:r>
        <w:rPr>
          <w:rFonts w:ascii="Times New Roman" w:hAnsi="Times New Roman"/>
          <w:b w:val="false"/>
          <w:i w:val="false"/>
          <w:color w:val="000000"/>
          <w:sz w:val="21"/>
        </w:rPr>
        <w:t>[Filed ARC 6870C</w:t>
      </w:r>
      <w:r>
        <w:rPr>
          <w:rFonts w:ascii="Times New Roman" w:hAnsi="Times New Roman"/>
          <w:b w:val="false"/>
          <w:i w:val="false"/>
          <w:color w:val="000000"/>
          <w:sz w:val="21"/>
        </w:rPr>
        <w:t xml:space="preserve"> (Notice ARC 6677C, IAB 11/16/22)</w:t>
      </w:r>
      <w:r>
        <w:rPr>
          <w:rFonts w:ascii="Times New Roman" w:hAnsi="Times New Roman"/>
          <w:b w:val="false"/>
          <w:i w:val="false"/>
          <w:color w:val="000000"/>
          <w:sz w:val="21"/>
        </w:rPr>
        <w:t>, IAB 2/8/23, effective 3/15/23]</w:t>
      </w:r>
    </w:p>
    <w:p>
      <w:pPr>
        <w:spacing w:before="0" w:after="0"/>
        <w:ind w:left="120"/>
        <w:jc w:val="center"/>
      </w:pPr>
      <w:r>
        <w:rPr>
          <w:rFonts w:ascii="Times New Roman" w:hAnsi="Times New Roman"/>
          <w:b w:val="false"/>
          <w:i w:val="false"/>
          <w:color w:val="000000"/>
          <w:sz w:val="21"/>
        </w:rPr>
        <w:t>[Filed ARC 8816C</w:t>
      </w:r>
      <w:r>
        <w:rPr>
          <w:rFonts w:ascii="Times New Roman" w:hAnsi="Times New Roman"/>
          <w:b w:val="false"/>
          <w:i w:val="false"/>
          <w:color w:val="000000"/>
          <w:sz w:val="21"/>
        </w:rPr>
        <w:t xml:space="preserve"> (Notice ARC 8307C, IAB 10/30/24)</w:t>
      </w:r>
      <w:r>
        <w:rPr>
          <w:rFonts w:ascii="Times New Roman" w:hAnsi="Times New Roman"/>
          <w:b w:val="false"/>
          <w:i w:val="false"/>
          <w:color w:val="000000"/>
          <w:sz w:val="21"/>
        </w:rPr>
        <w:t>, IAB 1/22/25, effective 2/26/25]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56.152.pdf" Type="http://schemas.openxmlformats.org/officeDocument/2006/relationships/hyperlink" Id="rId5"/>
    <Relationship TargetMode="External" Target="https://www.legis.iowa.gov/docs/ico/chapter/272C.12.pdf" Type="http://schemas.openxmlformats.org/officeDocument/2006/relationships/hyperlink" Id="rId6"/>
    <Relationship TargetMode="External" Target="https://www.legis.iowa.gov/docs/iac/rule/282.18.1.pdf" Type="http://schemas.openxmlformats.org/officeDocument/2006/relationships/hyperlink" Id="rId7"/>
    <Relationship TargetMode="External" Target="https://www.legis.iowa.gov/docs/iac/rule/282.18.1.pdf" Type="http://schemas.openxmlformats.org/officeDocument/2006/relationships/hyperlink" Id="rId8"/>
    <Relationship TargetMode="External" Target="https://www.legis.iowa.gov/docs/iac/rule/281.83.10.pdf" Type="http://schemas.openxmlformats.org/officeDocument/2006/relationships/hyperlink" Id="rId9"/>
    <Relationship TargetMode="External" Target="https://www.legis.iowa.gov/docs/ico/chapter/273.5.pdf" Type="http://schemas.openxmlformats.org/officeDocument/2006/relationships/hyperlink" Id="rId10"/>
    <Relationship TargetMode="External" Target="https://www.legis.iowa.gov/docs/ico/chapter/256.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