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STATEMENTS OF PROFESSIONAL RECOGNITION (SPR)</w:t>
      </w:r>
    </w:p>
    <w:p>
      <w:pPr>
        <w:spacing w:before="0" w:after="0"/>
        <w:ind w:left="120"/>
        <w:jc w:val="center"/>
      </w:pPr>
      <w:r>
        <w:rPr>
          <w:rFonts w:ascii="Times New Roman" w:hAnsi="Times New Roman"/>
          <w:b w:val="false"/>
          <w:i w:val="false"/>
          <w:color w:val="000000"/>
          <w:sz w:val="14"/>
        </w:rPr>
        <w:t>[Prior to 1/14/09, see Educational Examiners Board[282]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282—16.1</w:t>
      </w:r>
      <w:r>
        <w:rPr>
          <w:rFonts w:ascii="Times New Roman" w:hAnsi="Times New Roman"/>
          <w:b/>
          <w:i w:val="false"/>
          <w:color w:val="000000"/>
          <w:sz w:val="22"/>
        </w:rPr>
        <w:t xml:space="preserve">(256) </w:t>
      </w:r>
      <w:r>
        <w:rPr>
          <w:rFonts w:ascii="Times New Roman" w:hAnsi="Times New Roman"/>
          <w:b/>
          <w:i w:val="false"/>
          <w:color w:val="000000"/>
          <w:sz w:val="22"/>
        </w:rPr>
        <w:t xml:space="preserve">Statements of professional recognition (SPR).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SPR. </w:t>
      </w:r>
      <w:r>
        <w:rPr>
          <w:rFonts w:ascii="Times New Roman" w:hAnsi="Times New Roman"/>
          <w:b w:val="false"/>
          <w:i w:val="false"/>
          <w:color w:val="000000"/>
          <w:sz w:val="22"/>
        </w:rPr>
        <w:t>The following statements of professional recognition may be obtained by first obtaining licensure from the department of inspections, appeals, and licensing and do not permit service as a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audiologist.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Speech-language pathologist.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nurse.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School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School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School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School behavior analyst.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SPR is valid for five years. Applicants will also maintain their license from the department of inspections, appeals, and licensing during the term of the SPR, and this valid license will be required for the issuance and renewal of the SPR.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w:t>
      </w:r>
      <w:r>
        <w:rPr>
          <w:rFonts w:ascii="Times New Roman" w:hAnsi="Times New Roman"/>
          <w:b w:val="false"/>
          <w:i w:val="false"/>
          <w:color w:val="000000"/>
          <w:sz w:val="22"/>
        </w:rPr>
        <w:t> </w:t>
      </w:r>
      <w:r>
        <w:rPr>
          <w:rFonts w:ascii="Times New Roman" w:hAnsi="Times New Roman"/>
          <w:b w:val="false"/>
          <w:i/>
          <w:color w:val="000000"/>
          <w:sz w:val="22"/>
        </w:rPr>
        <w:t xml:space="preserve">Temporary authorization. </w:t>
      </w:r>
      <w:r>
        <w:rPr>
          <w:rFonts w:ascii="Times New Roman" w:hAnsi="Times New Roman"/>
          <w:b w:val="false"/>
          <w:i w:val="false"/>
          <w:color w:val="000000"/>
          <w:sz w:val="22"/>
        </w:rPr>
        <w:t>A temporary SPR may be issued for one school year if the license from the department of inspections, appeals, and licensing is temporary.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w:t>
      </w:r>
      <w:r>
        <w:rPr>
          <w:rFonts w:ascii="Times New Roman" w:hAnsi="Times New Roman"/>
          <w:b w:val="false"/>
          <w:i w:val="false"/>
          <w:color w:val="000000"/>
          <w:sz w:val="22"/>
        </w:rPr>
        <w:t> </w:t>
      </w:r>
      <w:r>
        <w:rPr>
          <w:rFonts w:ascii="Times New Roman" w:hAnsi="Times New Roman"/>
          <w:b w:val="false"/>
          <w:i/>
          <w:color w:val="000000"/>
          <w:sz w:val="22"/>
        </w:rPr>
        <w:t xml:space="preserve">Request for SPR. </w:t>
      </w:r>
      <w:r>
        <w:rPr>
          <w:rFonts w:ascii="Times New Roman" w:hAnsi="Times New Roman"/>
          <w:b w:val="false"/>
          <w:i w:val="false"/>
          <w:color w:val="000000"/>
          <w:sz w:val="22"/>
        </w:rPr>
        <w:t>The employer will submit a letter requesting that the SPR be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282—16.2</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audiologist. </w:t>
      </w:r>
      <w:r>
        <w:rPr>
          <w:rFonts w:ascii="Times New Roman" w:hAnsi="Times New Roman"/>
          <w:b w:val="false"/>
          <w:i w:val="false"/>
          <w:color w:val="000000"/>
          <w:sz w:val="22"/>
        </w:rPr>
        <w:t>The holder of this SPR is authorized to serve as a school audiologist to pupils from birth to age 21 who are deaf or hard of hearing. The person is required to obtain a professional service license or SPR from the board of educational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282—16.3</w:t>
      </w:r>
      <w:r>
        <w:rPr>
          <w:rFonts w:ascii="Times New Roman" w:hAnsi="Times New Roman"/>
          <w:b/>
          <w:i w:val="false"/>
          <w:color w:val="000000"/>
          <w:sz w:val="22"/>
        </w:rPr>
        <w:t xml:space="preserve">(256) </w:t>
      </w:r>
      <w:r>
        <w:rPr>
          <w:rFonts w:ascii="Times New Roman" w:hAnsi="Times New Roman"/>
          <w:b/>
          <w:i w:val="false"/>
          <w:color w:val="000000"/>
          <w:sz w:val="22"/>
        </w:rPr>
        <w:t xml:space="preserve">Speech-language pathologist. </w:t>
      </w:r>
      <w:r>
        <w:rPr>
          <w:rFonts w:ascii="Times New Roman" w:hAnsi="Times New Roman"/>
          <w:b w:val="false"/>
          <w:i w:val="false"/>
          <w:color w:val="000000"/>
          <w:sz w:val="22"/>
        </w:rPr>
        <w:t xml:space="preserve">The holder of this SPR is authorized to serve as a speech-language pathologist to pupils from birth to age 21. The person is required to obtain a professional service license or SPR from the board of educational examiners.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282—16.4</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nurse. </w:t>
      </w:r>
      <w:r>
        <w:rPr>
          <w:rFonts w:ascii="Times New Roman" w:hAnsi="Times New Roman"/>
          <w:b w:val="false"/>
          <w:i w:val="false"/>
          <w:color w:val="000000"/>
          <w:sz w:val="22"/>
        </w:rPr>
        <w:t>The holder of this SPR is authorized to promote the health and safety of the students, including providing medical treatment as allowed under the authority granted by virtue of holding a license from the department of inspections, appeals, and licensing. Applicants will also pass the registered nurse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282—16.5</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occupational therapist. </w:t>
      </w:r>
      <w:r>
        <w:rPr>
          <w:rFonts w:ascii="Times New Roman" w:hAnsi="Times New Roman"/>
          <w:b w:val="false"/>
          <w:i w:val="false"/>
          <w:color w:val="000000"/>
          <w:sz w:val="22"/>
        </w:rPr>
        <w:t>The holder of this SPR can serve as a school occupational therapist to pupils from birth to age 21 who have physical impairments.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282—16.6</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physical therapist. </w:t>
      </w:r>
      <w:r>
        <w:rPr>
          <w:rFonts w:ascii="Times New Roman" w:hAnsi="Times New Roman"/>
          <w:b w:val="false"/>
          <w:i w:val="false"/>
          <w:color w:val="000000"/>
          <w:sz w:val="22"/>
        </w:rPr>
        <w:t>The holder of this SPR can serve as a school physical therapist to pupils from birth to age 21 who have physical impairments.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282—16.7</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social worker. </w:t>
      </w:r>
      <w:r>
        <w:rPr>
          <w:rFonts w:ascii="Times New Roman" w:hAnsi="Times New Roman"/>
          <w:b w:val="false"/>
          <w:i w:val="false"/>
          <w:color w:val="000000"/>
          <w:sz w:val="22"/>
        </w:rPr>
        <w:t>The holder of this SPR is authorized to serve as a school social worker to pupils from birth to age 21 and will hold a licensed independent social worker (LISW) or licensed master social worker (LMSW)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282—16.8</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behavior analyst. </w:t>
      </w:r>
      <w:r>
        <w:rPr>
          <w:rFonts w:ascii="Times New Roman" w:hAnsi="Times New Roman"/>
          <w:b w:val="false"/>
          <w:i w:val="false"/>
          <w:color w:val="000000"/>
          <w:sz w:val="22"/>
        </w:rPr>
        <w:t>The holder of this SPR can serve as a school behavior analyst to pupils from birth to age 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282—16.9</w:t>
      </w:r>
      <w:r>
        <w:rPr>
          <w:rFonts w:ascii="Times New Roman" w:hAnsi="Times New Roman"/>
          <w:b/>
          <w:i w:val="false"/>
          <w:color w:val="000000"/>
          <w:sz w:val="22"/>
        </w:rPr>
        <w:t xml:space="preserve">(256) </w:t>
      </w:r>
      <w:r>
        <w:rPr>
          <w:rFonts w:ascii="Times New Roman" w:hAnsi="Times New Roman"/>
          <w:b/>
          <w:i w:val="false"/>
          <w:color w:val="000000"/>
          <w:sz w:val="22"/>
        </w:rPr>
        <w:t xml:space="preserve">Mental health professional. </w:t>
      </w:r>
      <w:r>
        <w:rPr>
          <w:rFonts w:ascii="Times New Roman" w:hAnsi="Times New Roman"/>
          <w:b w:val="false"/>
          <w:i w:val="false"/>
          <w:color w:val="000000"/>
          <w:sz w:val="22"/>
        </w:rPr>
        <w:t xml:space="preserve">A mental health professional pursuant to Iowa Code section </w:t>
      </w:r>
      <w:hyperlink r:id="rId5">
        <w:r>
          <w:rPr>
            <w:rStyle w:val="Hyperlink"/>
            <w:rFonts w:ascii="Times New Roman" w:hAnsi="Times New Roman"/>
            <w:b w:val="false"/>
            <w:i w:val="false"/>
            <w:color w:val="000000"/>
            <w:sz w:val="22"/>
          </w:rPr>
          <w:t>228.1 </w:t>
        </w:r>
      </w:hyperlink>
      <w:r>
        <w:rPr>
          <w:rFonts w:ascii="Times New Roman" w:hAnsi="Times New Roman"/>
          <w:b w:val="false"/>
          <w:i w:val="false"/>
          <w:color w:val="000000"/>
          <w:sz w:val="22"/>
        </w:rPr>
        <w:t>will obtain an SPR from the board of educational examiners to be employed by or provide services to an accredited public or private school. The holder of this authorization can serve as a mental health professional to pupils from birth to age 21. Social workers will instead obtain the professional service license or SPR specific to school social work, which includes the authorization to provide mental health services to an accredited public or private school or area education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2230C</w:t>
      </w:r>
      <w:r>
        <w:rPr>
          <w:rFonts w:ascii="Times New Roman" w:hAnsi="Times New Roman"/>
          <w:b w:val="false"/>
          <w:i w:val="false"/>
          <w:color w:val="000000"/>
          <w:sz w:val="21"/>
        </w:rPr>
        <w:t xml:space="preserve"> (Notice ARC 2130C,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3633C</w:t>
      </w:r>
      <w:r>
        <w:rPr>
          <w:rFonts w:ascii="Times New Roman" w:hAnsi="Times New Roman"/>
          <w:b w:val="false"/>
          <w:i w:val="false"/>
          <w:color w:val="000000"/>
          <w:sz w:val="21"/>
        </w:rPr>
        <w:t xml:space="preserve"> (Notice ARC 3471C, IAB 12/6/17)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Emergency After Notice ARC 5807C</w:t>
      </w:r>
      <w:r>
        <w:rPr>
          <w:rFonts w:ascii="Times New Roman" w:hAnsi="Times New Roman"/>
          <w:b w:val="false"/>
          <w:i w:val="false"/>
          <w:color w:val="000000"/>
          <w:sz w:val="21"/>
        </w:rPr>
        <w:t xml:space="preserve"> (Notice ARC 5667C, IAB 6/2/21)</w:t>
      </w:r>
      <w:r>
        <w:rPr>
          <w:rFonts w:ascii="Times New Roman" w:hAnsi="Times New Roman"/>
          <w:b w:val="false"/>
          <w:i w:val="false"/>
          <w:color w:val="000000"/>
          <w:sz w:val="21"/>
        </w:rPr>
        <w:t>, IAB 7/28/21, effective 7/8/21]</w:t>
      </w:r>
      <w:r>
        <w:br/>
      </w:r>
      <w:r>
        <w:rPr>
          <w:rFonts w:ascii="Times New Roman" w:hAnsi="Times New Roman"/>
          <w:b w:val="false"/>
          <w:i w:val="false"/>
          <w:color w:val="000000"/>
          <w:sz w:val="21"/>
        </w:rPr>
        <w:t>[Filed ARC 5802C</w:t>
      </w:r>
      <w:r>
        <w:rPr>
          <w:rFonts w:ascii="Times New Roman" w:hAnsi="Times New Roman"/>
          <w:b w:val="false"/>
          <w:i w:val="false"/>
          <w:color w:val="000000"/>
          <w:sz w:val="21"/>
        </w:rPr>
        <w:t xml:space="preserve"> (Notice ARC 5666C, IAB 6/2/21)</w:t>
      </w:r>
      <w:r>
        <w:rPr>
          <w:rFonts w:ascii="Times New Roman" w:hAnsi="Times New Roman"/>
          <w:b w:val="false"/>
          <w:i w:val="false"/>
          <w:color w:val="000000"/>
          <w:sz w:val="21"/>
        </w:rPr>
        <w:t>, IAB 7/28/21, effective 9/1/21]</w:t>
      </w:r>
      <w:r>
        <w:br/>
      </w:r>
      <w:r>
        <w:rPr>
          <w:rFonts w:ascii="Times New Roman" w:hAnsi="Times New Roman"/>
          <w:b w:val="false"/>
          <w:i w:val="false"/>
          <w:color w:val="000000"/>
          <w:sz w:val="21"/>
        </w:rPr>
        <w:t>[Filed ARC 5803C</w:t>
      </w:r>
      <w:r>
        <w:rPr>
          <w:rFonts w:ascii="Times New Roman" w:hAnsi="Times New Roman"/>
          <w:b w:val="false"/>
          <w:i w:val="false"/>
          <w:color w:val="000000"/>
          <w:sz w:val="21"/>
        </w:rPr>
        <w:t xml:space="preserve"> (Notice ARC 5665C,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6128C</w:t>
      </w:r>
      <w:r>
        <w:rPr>
          <w:rFonts w:ascii="Times New Roman" w:hAnsi="Times New Roman"/>
          <w:b w:val="false"/>
          <w:i w:val="false"/>
          <w:color w:val="000000"/>
          <w:sz w:val="21"/>
        </w:rPr>
        <w:t xml:space="preserve"> (Notice ARC 5960C,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8815C</w:t>
      </w:r>
      <w:r>
        <w:rPr>
          <w:rFonts w:ascii="Times New Roman" w:hAnsi="Times New Roman"/>
          <w:b w:val="false"/>
          <w:i w:val="false"/>
          <w:color w:val="000000"/>
          <w:sz w:val="21"/>
        </w:rPr>
        <w:t xml:space="preserve"> (Notice ARC 8293C,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8.1.pdf" Type="http://schemas.openxmlformats.org/officeDocument/2006/relationships/hyperlink" Id="rId5"/>
    <Relationship TargetMode="External" Target="https://www.legis.iowa.gov/docs/ico/chapter/25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