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TEACHER LICENSES AND ENDORSEMENTS</w:t>
      </w:r>
    </w:p>
    <w:p>
      <w:pPr>
        <w:spacing w:before="0" w:after="0"/>
        <w:ind w:left="120"/>
        <w:jc w:val="center"/>
      </w:pPr>
      <w:r>
        <w:rPr>
          <w:rFonts w:ascii="Times New Roman" w:hAnsi="Times New Roman"/>
          <w:b w:val="false"/>
          <w:i w:val="false"/>
          <w:color w:val="000000"/>
          <w:sz w:val="14"/>
        </w:rPr>
        <w:t>[Prior to 1/14/09, see Educational Examiners Board[282]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282—13.1</w:t>
      </w:r>
      <w:r>
        <w:rPr>
          <w:rFonts w:ascii="Times New Roman" w:hAnsi="Times New Roman"/>
          <w:b/>
          <w:i w:val="false"/>
          <w:color w:val="000000"/>
          <w:sz w:val="22"/>
        </w:rPr>
        <w:t xml:space="preserve">(256) </w:t>
      </w:r>
      <w:r>
        <w:rPr>
          <w:rFonts w:ascii="Times New Roman" w:hAnsi="Times New Roman"/>
          <w:b/>
          <w:i w:val="false"/>
          <w:color w:val="000000"/>
          <w:sz w:val="22"/>
        </w:rPr>
        <w:t xml:space="preserve">Teacher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Applicants from Iowa institutions. </w:t>
      </w:r>
      <w:r>
        <w:rPr>
          <w:rFonts w:ascii="Times New Roman" w:hAnsi="Times New Roman"/>
          <w:b w:val="false"/>
          <w:i w:val="false"/>
          <w:color w:val="000000"/>
          <w:sz w:val="22"/>
        </w:rPr>
        <w:t>An applicant will complete a minimum of a baccalaureate degree and all requirements to receive a recommendation for the specific license and endorsement(s) from the designated recommending official at the recognized institution where the preparation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Applicants from non-Iowa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Original application. An applicant from a non-Iowa institution applying for the applicant’s first Iowa teaching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 meet the reciprocity requirements set forth in Iowa Code sections </w:t>
      </w:r>
      <w:hyperlink r:id="rId5">
        <w:r>
          <w:rPr>
            <w:rStyle w:val="Hyperlink"/>
            <w:rFonts w:ascii="Times New Roman" w:hAnsi="Times New Roman"/>
            <w:b w:val="false"/>
            <w:i w:val="false"/>
            <w:color w:val="000000"/>
            <w:sz w:val="22"/>
          </w:rPr>
          <w:t>256.152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Endorsements will be granted based on comparable Iowa endorsements, and endorsement requirements may be waived in order to grant the most comparable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be subject to any pending licensure disciplinary proceedings in any state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Holders of an Iowa teaching license who applied under this rule prior to June 16, 2022, may submit a new application if the requirements in this subrule would have been met at the time of their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Applicants from foreign institutions. </w:t>
      </w:r>
      <w:r>
        <w:rPr>
          <w:rFonts w:ascii="Times New Roman" w:hAnsi="Times New Roman"/>
          <w:b w:val="false"/>
          <w:i w:val="false"/>
          <w:color w:val="000000"/>
          <w:sz w:val="22"/>
        </w:rPr>
        <w:t>An applicant for initial licensure whose preparation was completed in a foreign institution will additionally obtain a course-by-course credential evaluation report completed by a board-approved provider showing the completion of a teacher preparation program in lieu of a valid or expired teaching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color w:val="000000"/>
          <w:sz w:val="22"/>
        </w:rPr>
        <w:t xml:space="preserve">Military veterans and spouses.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(2021); or in the organized reserves of the United States, as provided in 10 U.S.C. Section 10101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8">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waived for veterans, spouses, or spouses of active duty military service members applying for a teaching license. </w:t>
      </w:r>
      <w:r>
        <w:rPr>
          <w:rFonts w:ascii="Times New Roman" w:hAnsi="Times New Roman"/>
          <w:b w:val="false"/>
          <w:i w:val="false"/>
          <w:color w:val="000000"/>
          <w:sz w:val="22"/>
        </w:rPr>
        <w:t>To receive a waiver of the application fee for a teaching license, a veteran will provide a copy of the veteran’s DD 214. A spouse will provide a copy of the veteran spouse’s DD 214 or current military orders and the couple’s marriage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Military education, training, and service credit. </w:t>
      </w:r>
      <w:r>
        <w:rPr>
          <w:rFonts w:ascii="Times New Roman" w:hAnsi="Times New Roman"/>
          <w:b w:val="false"/>
          <w:i w:val="false"/>
          <w:color w:val="000000"/>
          <w:sz w:val="22"/>
        </w:rPr>
        <w:t>An applicant under this rule may apply for credit for verified military education, training, or service toward any experience or educational requirement. The board of educational examiners will promptly determine whether the verified military education, training, or service will satisfy all or any part of the identified experience or educational requirement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282—13.2</w:t>
      </w:r>
      <w:r>
        <w:rPr>
          <w:rFonts w:ascii="Times New Roman" w:hAnsi="Times New Roman"/>
          <w:b/>
          <w:i w:val="false"/>
          <w:color w:val="000000"/>
          <w:sz w:val="22"/>
        </w:rPr>
        <w:t xml:space="preserve">(256) </w:t>
      </w:r>
      <w:r>
        <w:rPr>
          <w:rFonts w:ascii="Times New Roman" w:hAnsi="Times New Roman"/>
          <w:b/>
          <w:i w:val="false"/>
          <w:color w:val="000000"/>
          <w:sz w:val="22"/>
        </w:rPr>
        <w:t xml:space="preserve">Initial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Temporary initial license. </w:t>
      </w:r>
      <w:r>
        <w:rPr>
          <w:rFonts w:ascii="Times New Roman" w:hAnsi="Times New Roman"/>
          <w:b w:val="false"/>
          <w:i w:val="false"/>
          <w:color w:val="000000"/>
          <w:sz w:val="22"/>
        </w:rPr>
        <w:t xml:space="preserve">A temporary initial license valid for a minimum of two years with an expiration date of June 30 may be issued to an applicant who meets the requirements set forth in Iowa Code section </w:t>
      </w:r>
      <w:hyperlink r:id="rId9">
        <w:r>
          <w:rPr>
            <w:rStyle w:val="Hyperlink"/>
            <w:rFonts w:ascii="Times New Roman" w:hAnsi="Times New Roman"/>
            <w:b w:val="false"/>
            <w:i w:val="false"/>
            <w:color w:val="000000"/>
            <w:sz w:val="22"/>
          </w:rPr>
          <w:t>256.166</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 xml:space="preserve">An initial license valid for a minimum of two years with an expiration date of June 30 may be issued to an applicant who meets the requirements set forth in rule </w:t>
      </w:r>
      <w:hyperlink r:id="rId11">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282—13.3</w:t>
      </w:r>
      <w:r>
        <w:rPr>
          <w:rFonts w:ascii="Times New Roman" w:hAnsi="Times New Roman"/>
          <w:b/>
          <w:i w:val="false"/>
          <w:color w:val="000000"/>
          <w:sz w:val="22"/>
        </w:rPr>
        <w:t xml:space="preserve">(256) </w:t>
      </w:r>
      <w:r>
        <w:rPr>
          <w:rFonts w:ascii="Times New Roman" w:hAnsi="Times New Roman"/>
          <w:b/>
          <w:i w:val="false"/>
          <w:color w:val="000000"/>
          <w:sz w:val="22"/>
        </w:rPr>
        <w:t xml:space="preserve">Standard license. </w:t>
      </w:r>
      <w:r>
        <w:rPr>
          <w:rFonts w:ascii="Times New Roman" w:hAnsi="Times New Roman"/>
          <w:b w:val="false"/>
          <w:i w:val="false"/>
          <w:color w:val="000000"/>
          <w:sz w:val="22"/>
        </w:rPr>
        <w:t xml:space="preserve">A standard license valid for five years may be issued to an applicant who meets the general requirements set forth in rule </w:t>
      </w:r>
      <w:hyperlink r:id="rId12">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 xml:space="preserve">(256) and Iowa Code section </w:t>
      </w:r>
      <w:hyperlink r:id="rId13">
        <w:r>
          <w:rPr>
            <w:rStyle w:val="Hyperlink"/>
            <w:rFonts w:ascii="Times New Roman" w:hAnsi="Times New Roman"/>
            <w:b w:val="false"/>
            <w:i w:val="false"/>
            <w:color w:val="000000"/>
            <w:sz w:val="22"/>
          </w:rPr>
          <w:t>256.163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282—13.4</w:t>
      </w:r>
      <w:r>
        <w:rPr>
          <w:rFonts w:ascii="Times New Roman" w:hAnsi="Times New Roman"/>
          <w:b/>
          <w:i w:val="false"/>
          <w:color w:val="000000"/>
          <w:sz w:val="22"/>
        </w:rPr>
        <w:t>(</w:t>
      </w:r>
      <w:hyperlink r:id="rId14">
        <w:r>
          <w:rPr>
            <w:rStyle w:val="Hyperlink"/>
            <w:rFonts w:ascii="Times New Roman" w:hAnsi="Times New Roman"/>
            <w:b/>
            <w:i w:val="false"/>
            <w:color w:val="000000"/>
            <w:sz w:val="22"/>
          </w:rPr>
          <w:t>256</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Master educator license. </w:t>
      </w:r>
      <w:r>
        <w:rPr>
          <w:rFonts w:ascii="Times New Roman" w:hAnsi="Times New Roman"/>
          <w:b w:val="false"/>
          <w:i w:val="false"/>
          <w:color w:val="000000"/>
          <w:sz w:val="22"/>
        </w:rPr>
        <w:t>A master educator license is valid for five years and may be issued to an applicant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the holder of or is eligible for a standard license as set out in rule </w:t>
      </w:r>
      <w:hyperlink r:id="rId15">
        <w:r>
          <w:rPr>
            <w:rStyle w:val="Hyperlink"/>
            <w:rFonts w:ascii="Times New Roman" w:hAnsi="Times New Roman"/>
            <w:b w:val="false"/>
            <w:i w:val="false"/>
            <w:color w:val="000000"/>
            <w:sz w:val="22"/>
          </w:rPr>
          <w:t>282—13.3</w:t>
        </w:r>
      </w:hyperlink>
      <w:r>
        <w:rPr>
          <w:rFonts w:ascii="Times New Roman" w:hAnsi="Times New Roman"/>
          <w:b w:val="false"/>
          <w:i w:val="false"/>
          <w:color w:val="000000"/>
          <w:sz w:val="22"/>
        </w:rPr>
        <w:t>(256),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Provides verification of five years of successful teaching experience,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Completes a master’s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282—13.5</w:t>
      </w:r>
      <w:r>
        <w:rPr>
          <w:rFonts w:ascii="Times New Roman" w:hAnsi="Times New Roman"/>
          <w:b/>
          <w:i w:val="false"/>
          <w:color w:val="000000"/>
          <w:sz w:val="22"/>
        </w:rPr>
        <w:t xml:space="preserve">(256) </w:t>
      </w:r>
      <w:r>
        <w:rPr>
          <w:rFonts w:ascii="Times New Roman" w:hAnsi="Times New Roman"/>
          <w:b/>
          <w:i w:val="false"/>
          <w:color w:val="000000"/>
          <w:sz w:val="22"/>
        </w:rPr>
        <w:t xml:space="preserve">Teacher intern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teacher intern is authorized to teach within qualified endorsement areas approved by the board of educational examiners for teacher internships.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term of the teacher intern license will be one school year. This license is nonrenewable.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Teacher intern requirements. </w:t>
      </w:r>
      <w:r>
        <w:rPr>
          <w:rFonts w:ascii="Times New Roman" w:hAnsi="Times New Roman"/>
          <w:b w:val="false"/>
          <w:i w:val="false"/>
          <w:color w:val="000000"/>
          <w:sz w:val="22"/>
        </w:rPr>
        <w:t>A teacher intern license and endorsement may be issued to an applicant who has been recommended by an institution with a state-approved intern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Teacher intern extension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one-year extension of the teacher intern license may be issued upon application to an applicant who needs additional time to complete the internship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Teaching experience completed during the term of the teacher intern license or extension may be used toward the experience requirement for the standard teaching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282—13.6</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International teacher exchange program license. </w:t>
      </w:r>
      <w:r>
        <w:rPr>
          <w:rFonts w:ascii="Times New Roman" w:hAnsi="Times New Roman"/>
          <w:b w:val="false"/>
          <w:i w:val="false"/>
          <w:color w:val="000000"/>
          <w:sz w:val="22"/>
        </w:rPr>
        <w:t>A nonrenewable international exchange program license may be issued to an applicant under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has completed a teacher education program in another country.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is a participant in a teacher exchange program administered through the Iowa department of education, the U.S. Department of Education, or the U.S. Department of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Each exchange license will be limited to the area(s) and level(s) of instruction as determined by an analysis of the application and the credential evaluation report.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license will not exceed one year unless the applicant can verify continued participation in the exchange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282—13.7</w:t>
      </w:r>
      <w:r>
        <w:rPr>
          <w:rFonts w:ascii="Times New Roman" w:hAnsi="Times New Roman"/>
          <w:b/>
          <w:i w:val="false"/>
          <w:color w:val="000000"/>
          <w:sz w:val="22"/>
        </w:rPr>
        <w:t xml:space="preserve">(256) </w:t>
      </w:r>
      <w:r>
        <w:rPr>
          <w:rFonts w:ascii="Times New Roman" w:hAnsi="Times New Roman"/>
          <w:b/>
          <w:i w:val="false"/>
          <w:color w:val="000000"/>
          <w:sz w:val="22"/>
        </w:rPr>
        <w:t xml:space="preserve">Substitute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Substitute teacher requirements. </w:t>
      </w:r>
      <w:r>
        <w:rPr>
          <w:rFonts w:ascii="Times New Roman" w:hAnsi="Times New Roman"/>
          <w:b w:val="false"/>
          <w:i w:val="false"/>
          <w:color w:val="000000"/>
          <w:sz w:val="22"/>
        </w:rPr>
        <w:t>A substitute license may be issued to an individual who is eligible to hold a teaching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A substitute license is valid for five years and for not more than 90 days of teaching in one assignment during any one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a substitute license may substitute teach in any position in which a regularly licensed teacher is employed except in the driver’s education classroom. The holders of temporary initial, initial, standard, master educator, professional administrator, regional exchange, full career and technical education authorization, full native language teaching authorization, full content specialist authorization, professional service license, and permanent professional licenses may substitute on the same basis as the holder of a substitute license while the regular license is in effect. The executive director may grant permission for a substitute to serve outside of a substitute’s regular authority or past the day limitation under unique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282—13.8</w:t>
      </w:r>
      <w:r>
        <w:rPr>
          <w:rFonts w:ascii="Times New Roman" w:hAnsi="Times New Roman"/>
          <w:b/>
          <w:i w:val="false"/>
          <w:color w:val="000000"/>
          <w:sz w:val="22"/>
        </w:rPr>
        <w:t xml:space="preserve">(256) </w:t>
      </w:r>
      <w:r>
        <w:rPr>
          <w:rFonts w:ascii="Times New Roman" w:hAnsi="Times New Roman"/>
          <w:b/>
          <w:i w:val="false"/>
          <w:color w:val="000000"/>
          <w:sz w:val="22"/>
        </w:rPr>
        <w:t xml:space="preserve">Permanent professional certificates. </w:t>
      </w:r>
      <w:r>
        <w:rPr>
          <w:rFonts w:ascii="Times New Roman" w:hAnsi="Times New Roman"/>
          <w:b w:val="false"/>
          <w:i w:val="false"/>
          <w:color w:val="000000"/>
          <w:sz w:val="22"/>
        </w:rPr>
        <w:t>Effective October 1, 1988, the permanent professional certificate will no longer be issued. Any permanent professional certificate issued prior to October 1, 1988, will continue in force with the endorsements and approvals appearing thereon unless revoked or suspended for cause. If a permanent professional certificate is revoked and if the holder is able at a later date to overcome or remediate the reasons for the revocation, the holder may apply for the appropriate new class of license set forth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282—13.9</w:t>
      </w:r>
      <w:r>
        <w:rPr>
          <w:rFonts w:ascii="Times New Roman" w:hAnsi="Times New Roman"/>
          <w:b/>
          <w:i w:val="false"/>
          <w:color w:val="000000"/>
          <w:sz w:val="22"/>
        </w:rPr>
        <w:t xml:space="preserve">(256) </w:t>
      </w:r>
      <w:r>
        <w:rPr>
          <w:rFonts w:ascii="Times New Roman" w:hAnsi="Times New Roman"/>
          <w:b/>
          <w:i w:val="false"/>
          <w:color w:val="000000"/>
          <w:sz w:val="22"/>
        </w:rPr>
        <w:t xml:space="preserve">Requirements for preschool and elementary endorsements.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color w:val="000000"/>
          <w:sz w:val="22"/>
        </w:rPr>
        <w:t xml:space="preserve">Teacher—prekindergarten-kindergarten.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The holder of this endorsement is authorized to teach at the prekindergarten-kindergarten level. Applicants for this endorsement will also hold the teacher—elementary classroom endorsement set forth in this rule or the early childhood special education endorsement set forth in </w:t>
      </w:r>
      <w:hyperlink r:id="rId16">
        <w:r>
          <w:rPr>
            <w:rStyle w:val="Hyperlink"/>
            <w:rFonts w:ascii="Times New Roman" w:hAnsi="Times New Roman"/>
            <w:b w:val="false"/>
            <w:i w:val="false"/>
            <w:color w:val="000000"/>
            <w:sz w:val="22"/>
          </w:rPr>
          <w:t>282—subrule 14.1(1)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A minimum of 18 semester hours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development and learning to include young children’s characteristics and needs, with an emphasis on cognitive, language, physical, social, and emotional development, both typical and atypical; the multiple interacting influences on early development; and the creation of environments that are healthy, respectful, supportive, and challenging for each and every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Building family and community relationships to include understanding that successful early childhood education depends upon reciprocal and respectful partnerships with families, communities, and agencies; that these partnerships have complex and diverse characteristics; and that all families should be involved in their children’s development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in early childhood to include child observation, documentation, and data collection; the development of appropriate goals; the benefits and uses of assessment for curriculum and instructional strategies; the use of technology when appropriate for assessment and adaptations; and building assessment partnerships with families to positively influence the development of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Developmentally effective approaches to include understanding how positive relationships and supportive interactions are the foundation of working with young children and families; knowing and understanding a wide array of developmentally appropriate approaches, including play and creativity, instructional strategies, and tools to connect with children and families; and reflecting on the teacher’s own practice to promote positive outcomes for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Content knowledge to build a meaningful curriculum through the use of academic disciplines, including language and literacy, the arts (music, drama, dance, and visual arts), mathematics, science, social studies, physical activity, and health, for designing, implementing, and evaluating inquiry-based experiences that promote positive development and learning for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Collaboration and professionalism to include involvement in the early childhood field, knowledge about ethical and early childhood professional standards, engagement in continuous collaborative learning to inform practice, reflective and critical perspectives on early childhood education, and informed advocacy for young children and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Field experiences and opportunities to observe and practice in a variety of early childhood settings, which include, at a minimum, 40 hours of observation and practice in a variety of preschool settings such as urban, rural, socioeconomic status, cultural diversity, program types, and program sponsorship.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Historical, philosophical, and social foundations of early childhood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Student teaching in a prekindergarten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Teacher—kindergarten through grade six. </w:t>
      </w:r>
      <w:r>
        <w:rPr>
          <w:rFonts w:ascii="Times New Roman" w:hAnsi="Times New Roman"/>
          <w:b w:val="false"/>
          <w:i w:val="false"/>
          <w:color w:val="000000"/>
          <w:sz w:val="22"/>
        </w:rPr>
        <w:t>The holder of this endorsement is authorized to teach in kindergarten and grades one through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Growth and development. </w:t>
      </w:r>
      <w:r>
        <w:rPr>
          <w:rFonts w:ascii="Times New Roman" w:hAnsi="Times New Roman"/>
          <w:b w:val="false"/>
          <w:i w:val="false"/>
          <w:color w:val="000000"/>
          <w:sz w:val="22"/>
        </w:rPr>
        <w:t>Child growth and development with emphasis on the emotional, physical and mental characteristics of elementary age children unless completed as part of the professional education 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At least nine semester hours in literacy development,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and written communication development; and linguistics, including phonology and phonological awareness, sound-symbol association, syllable types, morphology, syntax and semantics, and the relationship of these components to typical and atypical reading development and reading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Phonemic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Word identification, including phonics and orthography;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Fluency;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Vocabulary;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Writing mechanics;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Writing conventions;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Writing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Children’s literature.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of student learning in literacy, including the knowledge of the signs and symptoms of dyslexia and other reading difficulties;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Integration of the language arts (to include reading, writing, speaking, viewing, and listening);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Integration of technology in teaching and student learning in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best-practice, research-based strategies and instructional technology for designing and delivering effective instruction, including appropriate interventions, groupings, remediation, assistive technology, and classroom accommodations for all students including students with dyslexia and other difficulties;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Classroom management as it applies to literacy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Pre-student teaching clinical experience in teaching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nine semester hours in mathematics,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Numbers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Algebra/number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Data analysis/probability.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of student learning in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best-practice, research-based instructional methods in mathematical processes (to include problem-solving; reasoning; communication; the ability to recognize, make and apply connections; integration of manipulatives; the ability to construct and to apply multiple connected representations; and the application of content to real-world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Integration of technology in teaching and student learning in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Classroom management as it applies to mathematics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Pre-student teaching clinical experience in teaching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nine semester hours in social sciences,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Political science/civic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Behavioral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best-practice, research-based approaches to the teaching and learning of social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Integration of technology in teaching and student learning in social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Classroom management as it applies to social science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nine semester hours in science,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Earth/space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Life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best-practice, research-based methods of inquiry-based teaching and learning of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Integration of technology in teaching and student learning in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Classroom management as it applies to science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three semester hours to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of teaching elementary physical education,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of teaching visual arts for the elementary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of teaching performance arts for the elementary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Pre-student teaching field experience in at least two different grade levels to include one primary and one intermediate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field of specialization in a single discipline or a formal interdisciplinary program of at least 12 semester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teaching in an elementary general education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282—13.10</w:t>
      </w:r>
      <w:r>
        <w:rPr>
          <w:rFonts w:ascii="Times New Roman" w:hAnsi="Times New Roman"/>
          <w:b/>
          <w:i w:val="false"/>
          <w:color w:val="000000"/>
          <w:sz w:val="22"/>
        </w:rPr>
        <w:t xml:space="preserve">(256) </w:t>
      </w:r>
      <w:r>
        <w:rPr>
          <w:rFonts w:ascii="Times New Roman" w:hAnsi="Times New Roman"/>
          <w:b/>
          <w:i w:val="false"/>
          <w:color w:val="000000"/>
          <w:sz w:val="22"/>
        </w:rPr>
        <w:t xml:space="preserve">Requirements for content area endorsements. </w:t>
      </w:r>
      <w:r>
        <w:rPr>
          <w:rFonts w:ascii="Times New Roman" w:hAnsi="Times New Roman"/>
          <w:b w:val="false"/>
          <w:i w:val="false"/>
          <w:color w:val="000000"/>
          <w:sz w:val="22"/>
        </w:rPr>
        <w:t>Content methods courses that cover the specific endorsement area and grade levels are required in addition to the content coursework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color w:val="000000"/>
          <w:sz w:val="22"/>
        </w:rPr>
        <w:t xml:space="preserve">Agriculture. </w:t>
      </w:r>
      <w:r>
        <w:rPr>
          <w:rFonts w:ascii="Times New Roman" w:hAnsi="Times New Roman"/>
          <w:b w:val="false"/>
          <w:i w:val="false"/>
          <w:color w:val="000000"/>
          <w:sz w:val="22"/>
        </w:rPr>
        <w:t>5-12. Completion of 24 semester credit hours in agriculture and agriculture education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Foundations of vocational and career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courses and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and techniques of instruction to include evaluation of programs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Coordination of cooperative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Coursework in each of the following areas and at least three semester credit hours in five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Agribusiness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structural, and technical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Animal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Natural resources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service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Food products and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color w:val="000000"/>
          <w:sz w:val="22"/>
        </w:rPr>
        <w:t xml:space="preserve">American Sign Language. </w:t>
      </w:r>
      <w:r>
        <w:rPr>
          <w:rFonts w:ascii="Times New Roman" w:hAnsi="Times New Roman"/>
          <w:b w:val="false"/>
          <w:i w:val="false"/>
          <w:color w:val="000000"/>
          <w:sz w:val="22"/>
        </w:rPr>
        <w:t>K-12. Completion of 18 semester hours of coursework in American Sign Language to include second-language acquisition, sociology of the deaf and hard-of-hearing community, linguistic structure of American Sign Language, language teaching methodology specific to American Sign Language, teaching the culture of deaf and hard-of-hearing people, and assessment of students in an American Sign Language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color w:val="000000"/>
          <w:sz w:val="22"/>
        </w:rPr>
        <w:t xml:space="preserve">Art. </w:t>
      </w:r>
      <w:r>
        <w:rPr>
          <w:rFonts w:ascii="Times New Roman" w:hAnsi="Times New Roman"/>
          <w:b w:val="false"/>
          <w:i w:val="false"/>
          <w:color w:val="000000"/>
          <w:sz w:val="22"/>
        </w:rPr>
        <w:t>K-8 and 5-12. Completion of 24 semester hours in art to include coursework in art history, studio art, and two- and three-dimensional 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color w:val="000000"/>
          <w:sz w:val="22"/>
        </w:rPr>
        <w:t xml:space="preserve">Athletic coach. </w:t>
      </w:r>
      <w:r>
        <w:rPr>
          <w:rFonts w:ascii="Times New Roman" w:hAnsi="Times New Roman"/>
          <w:b w:val="false"/>
          <w:i w:val="false"/>
          <w:color w:val="000000"/>
          <w:sz w:val="22"/>
        </w:rPr>
        <w:t>K-12. An applicant for the coaching endorsement will hold a teaching license with a teaching endorsement and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semester hour in the structure and function of the human body in relation to physical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semester hour in human growth and development of children and youth as related to physical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semester hours in athletic conditioning, care and prevention of injuries and first aid as related to physical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semester hour in the theory of coaching interscholastic athletics,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Concussion training approved by the Iowa High School Athletic Association or Iowa Girls High School Athletic Union,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current certificate of CPR training from an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color w:val="000000"/>
          <w:sz w:val="22"/>
        </w:rPr>
        <w:t xml:space="preserve">Business—all. </w:t>
      </w:r>
      <w:r>
        <w:rPr>
          <w:rFonts w:ascii="Times New Roman" w:hAnsi="Times New Roman"/>
          <w:b w:val="false"/>
          <w:i w:val="false"/>
          <w:color w:val="000000"/>
          <w:sz w:val="22"/>
        </w:rPr>
        <w:t>5-12. Completion of 30 semester hours in business to include 6 semester hours in accounting; 3 semester hours in business law to include contract law; 3 semester hours in computer and technical applications in business; 6 semester hours in marketing to include consumer studies; 3 semester hours in management; 6 semester hours in economics; 3 semester hours in business communications to include formatting, language usage, and oral presentation; and coursework in entrepreneurship and financial literacy.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13.10(6)</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K-8 and 5-12. Applicants will hold a valid Iowa teaching license with at least one additional teaching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A minimum of 12 semester hours of computer science to include coursework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representation and abstraction to include primitive data types, static and dynamic data structures, and data types and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Designing, developing, testing and refining algorithms to include proficiency in two or more programming paradigms.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and networks to include operating systems, networks, mobile devices, and machine-level data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course. </w:t>
      </w:r>
      <w:r>
        <w:rPr>
          <w:rFonts w:ascii="Times New Roman" w:hAnsi="Times New Roman"/>
          <w:b w:val="false"/>
          <w:i w:val="false"/>
          <w:color w:val="000000"/>
          <w:sz w:val="22"/>
        </w:rPr>
        <w:t>A computer science methods course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development including recognizing and defining real-world computational problems; computing concepts and constructs; developing and using abstractions; creating, testing, and refining computational artifacts; and problem-solving strategies in computer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Project-based methodologies that support active and authentic learning, fostering an inclusive computing culture, collaborative groupings, and opportunities for creative and innovative thinking.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about computing including multiple forms of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Digital citizenship including the social, legal, ethical, safe and effective use of computer hardware, software, peripherals, and networks.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specialist. </w:t>
      </w:r>
      <w:r>
        <w:rPr>
          <w:rFonts w:ascii="Times New Roman" w:hAnsi="Times New Roman"/>
          <w:b w:val="false"/>
          <w:i w:val="false"/>
          <w:color w:val="000000"/>
          <w:sz w:val="22"/>
        </w:rPr>
        <w:t>If the coursework requirements in this rule are met and the applicant achieves a minimum of 24 semester hours of computer science content, a computer science specialist endorsement will be granted and the additional teaching endorsement will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13.10(7)</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(CTE) information technology. </w:t>
      </w:r>
      <w:r>
        <w:rPr>
          <w:rFonts w:ascii="Times New Roman" w:hAnsi="Times New Roman"/>
          <w:b w:val="false"/>
          <w:i w:val="false"/>
          <w:color w:val="000000"/>
          <w:sz w:val="22"/>
        </w:rPr>
        <w:t>5-12. Applicants will hold a valid Iowa teaching license with at least one other teaching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Applicants will meet the coursework requirements for a computer science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CTE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six semester hours of career and technical curriculum and methods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Foundations of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of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of career and technical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CTE methods coursework is not required if the educator holds another career and technical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13.10(8)</w:t>
      </w:r>
      <w:r>
        <w:rPr>
          <w:rFonts w:ascii="Times New Roman" w:hAnsi="Times New Roman"/>
          <w:b w:val="false"/>
          <w:i w:val="false"/>
          <w:color w:val="000000"/>
          <w:sz w:val="22"/>
        </w:rPr>
        <w:t> </w:t>
      </w:r>
      <w:r>
        <w:rPr>
          <w:rFonts w:ascii="Times New Roman" w:hAnsi="Times New Roman"/>
          <w:b w:val="false"/>
          <w:i/>
          <w:color w:val="000000"/>
          <w:sz w:val="22"/>
        </w:rPr>
        <w:t xml:space="preserve">Driver education. </w:t>
      </w:r>
      <w:r>
        <w:rPr>
          <w:rFonts w:ascii="Times New Roman" w:hAnsi="Times New Roman"/>
          <w:b w:val="false"/>
          <w:i w:val="false"/>
          <w:color w:val="000000"/>
          <w:sz w:val="22"/>
        </w:rPr>
        <w:t>5-12. Completion of nine semester hours in driver education to include coursework in accident prevention that includes drug and alcohol abuse, vehicle safety, and behind-the-wheel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13.10(9)</w:t>
      </w:r>
      <w:r>
        <w:rPr>
          <w:rFonts w:ascii="Times New Roman" w:hAnsi="Times New Roman"/>
          <w:b w:val="false"/>
          <w:i w:val="false"/>
          <w:color w:val="000000"/>
          <w:sz w:val="22"/>
        </w:rPr>
        <w:t> </w:t>
      </w:r>
      <w:r>
        <w:rPr>
          <w:rFonts w:ascii="Times New Roman" w:hAnsi="Times New Roman"/>
          <w:b w:val="false"/>
          <w:i/>
          <w:color w:val="000000"/>
          <w:sz w:val="22"/>
        </w:rPr>
        <w:t xml:space="preserve">Engineering. </w:t>
      </w:r>
      <w:r>
        <w:rPr>
          <w:rFonts w:ascii="Times New Roman" w:hAnsi="Times New Roman"/>
          <w:b w:val="false"/>
          <w:i w:val="false"/>
          <w:color w:val="000000"/>
          <w:sz w:val="22"/>
        </w:rPr>
        <w:t>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24 semester hours in engineering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and strategies of STEM instruction or methods of teaching science or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13.10(10)</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K-8. </w:t>
      </w:r>
      <w:r>
        <w:rPr>
          <w:rFonts w:ascii="Times New Roman" w:hAnsi="Times New Roman"/>
          <w:b w:val="false"/>
          <w:i w:val="false"/>
          <w:color w:val="000000"/>
          <w:sz w:val="22"/>
        </w:rPr>
        <w:t>Completion of 24 semester hours in English and language arts to include coursework in oral communication, written communication, language development, literacy, children’s literature, creative drama or oral interpretation of literature, and American literature.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5-12. </w:t>
      </w:r>
      <w:r>
        <w:rPr>
          <w:rFonts w:ascii="Times New Roman" w:hAnsi="Times New Roman"/>
          <w:b w:val="false"/>
          <w:i w:val="false"/>
          <w:color w:val="000000"/>
          <w:sz w:val="22"/>
        </w:rPr>
        <w:t>Completion of 24 semester hours in English to include coursework in oral communication, written communication, language development, literacy, American literature, world literature, and adolescent literature.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5-12 English language arts—all. </w:t>
      </w:r>
      <w:r>
        <w:rPr>
          <w:rFonts w:ascii="Times New Roman" w:hAnsi="Times New Roman"/>
          <w:b w:val="false"/>
          <w:i w:val="false"/>
          <w:color w:val="000000"/>
          <w:sz w:val="22"/>
        </w:rPr>
        <w:t>Completion of 40 semester hours in English to include coursework in oral communication, written communication, language development, literacy, American literature, world literature, adolescent literature, creative voice, argumentation and debate, journalism, and mass media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5-12 journalism. </w:t>
      </w:r>
      <w:r>
        <w:rPr>
          <w:rFonts w:ascii="Times New Roman" w:hAnsi="Times New Roman"/>
          <w:b w:val="false"/>
          <w:i w:val="false"/>
          <w:color w:val="000000"/>
          <w:sz w:val="22"/>
        </w:rPr>
        <w:t>Completion of 15 semester hours in journalism to include coursework in writing, editing, production and visual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K-8 speech communication/theater. </w:t>
      </w:r>
      <w:r>
        <w:rPr>
          <w:rFonts w:ascii="Times New Roman" w:hAnsi="Times New Roman"/>
          <w:b w:val="false"/>
          <w:i w:val="false"/>
          <w:color w:val="000000"/>
          <w:sz w:val="22"/>
        </w:rPr>
        <w:t>Completion of 20 semester hours in speech communication/theatre to include coursework in speech communication, creative drama or theatre, and oral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5-12 speech communication/theater. </w:t>
      </w:r>
      <w:r>
        <w:rPr>
          <w:rFonts w:ascii="Times New Roman" w:hAnsi="Times New Roman"/>
          <w:b w:val="false"/>
          <w:i w:val="false"/>
          <w:color w:val="000000"/>
          <w:sz w:val="22"/>
        </w:rPr>
        <w:t>Completion of 24 semester hours in speech communication/theatre to include coursework in speech communication, oral interpretation, creative drama or theatre, argumentation and debate, and mass media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13.10(11)</w:t>
      </w:r>
      <w:r>
        <w:rPr>
          <w:rFonts w:ascii="Times New Roman" w:hAnsi="Times New Roman"/>
          <w:b w:val="false"/>
          <w:i w:val="false"/>
          <w:color w:val="000000"/>
          <w:sz w:val="22"/>
        </w:rPr>
        <w:t> </w:t>
      </w:r>
      <w:r>
        <w:rPr>
          <w:rFonts w:ascii="Times New Roman" w:hAnsi="Times New Roman"/>
          <w:b w:val="false"/>
          <w:i/>
          <w:color w:val="000000"/>
          <w:sz w:val="22"/>
        </w:rPr>
        <w:t xml:space="preserve">English language learning (ELL). </w:t>
      </w:r>
      <w:r>
        <w:rPr>
          <w:rFonts w:ascii="Times New Roman" w:hAnsi="Times New Roman"/>
          <w:b w:val="false"/>
          <w:i w:val="false"/>
          <w:color w:val="000000"/>
          <w:sz w:val="22"/>
        </w:rPr>
        <w:t>K-12.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teach English language learning in kindergarten and grades 1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Completion of 18 semester hours of coursework in English language learning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of pedagogy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and curriculum to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Bilingual and ELL methods.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Literacy in native and second language.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Methods for subject matter content.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Adaptation and modification of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to include language proficiency and academic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linguistics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Psycholinguistics and sociolinguistics.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Language acquisition and proficiency to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Knowledge of first and second language proficiency.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Knowledge of first and second language acquisition.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Language to include structure and grammar of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Knowledge of cultural and linguistic diversity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Theory, models,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Policy and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issues with transient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13.10(12)</w:t>
      </w:r>
      <w:r>
        <w:rPr>
          <w:rFonts w:ascii="Times New Roman" w:hAnsi="Times New Roman"/>
          <w:b w:val="false"/>
          <w:i w:val="false"/>
          <w:color w:val="000000"/>
          <w:sz w:val="22"/>
        </w:rPr>
        <w:t> </w:t>
      </w:r>
      <w:r>
        <w:rPr>
          <w:rFonts w:ascii="Times New Roman" w:hAnsi="Times New Roman"/>
          <w:b w:val="false"/>
          <w:i/>
          <w:color w:val="000000"/>
          <w:sz w:val="22"/>
        </w:rPr>
        <w:t xml:space="preserve">Family and consumer sciences—general. </w:t>
      </w:r>
      <w:r>
        <w:rPr>
          <w:rFonts w:ascii="Times New Roman" w:hAnsi="Times New Roman"/>
          <w:b w:val="false"/>
          <w:i w:val="false"/>
          <w:color w:val="000000"/>
          <w:sz w:val="22"/>
        </w:rPr>
        <w:t>5-12. Completion of 24 semester hours in family and consumer sciences to include coursework in lifespan development, parenting and child development education, family studies, consumer resource management, textiles or apparel design and merchandising, housing, foods and nutrition, and foundations of career and technical education as related to family and consumer sciences.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13.10(13)</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K-8 and 5-12. Completion of 24 semester hours, or 18 semester hours if the applicant holds a physical education or family and consumer science endorsement, in health to include coursework in public or community health, personal wellness, substance abuse, family life education, mental/emotional health, and human nutrition. A current certificate of CPR training is required in addition to the coursework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13.10(14)</w:t>
      </w:r>
      <w:r>
        <w:rPr>
          <w:rFonts w:ascii="Times New Roman" w:hAnsi="Times New Roman"/>
          <w:b w:val="false"/>
          <w:i w:val="false"/>
          <w:color w:val="000000"/>
          <w:sz w:val="22"/>
        </w:rPr>
        <w:t> </w:t>
      </w:r>
      <w:r>
        <w:rPr>
          <w:rFonts w:ascii="Times New Roman" w:hAnsi="Times New Roman"/>
          <w:b w:val="false"/>
          <w:i/>
          <w:color w:val="000000"/>
          <w:sz w:val="22"/>
        </w:rPr>
        <w:t xml:space="preserve">Industrial technology. </w:t>
      </w:r>
      <w:r>
        <w:rPr>
          <w:rFonts w:ascii="Times New Roman" w:hAnsi="Times New Roman"/>
          <w:b w:val="false"/>
          <w:i w:val="false"/>
          <w:color w:val="000000"/>
          <w:sz w:val="22"/>
        </w:rPr>
        <w:t>5-12. Completion of 24 semester hours in industrial technology to include coursework in manufacturing, construction, energy and power, graphic communications and transportation. Coursework is required in each area including at least 6 semester hours in three different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13.10(15)</w:t>
      </w:r>
      <w:r>
        <w:rPr>
          <w:rFonts w:ascii="Times New Roman" w:hAnsi="Times New Roman"/>
          <w:b w:val="false"/>
          <w:i w:val="false"/>
          <w:color w:val="000000"/>
          <w:sz w:val="22"/>
        </w:rPr>
        <w:t> </w:t>
      </w:r>
      <w:r>
        <w:rPr>
          <w:rFonts w:ascii="Times New Roman" w:hAnsi="Times New Roman"/>
          <w:b w:val="false"/>
          <w:i/>
          <w:color w:val="000000"/>
          <w:sz w:val="22"/>
        </w:rPr>
        <w:t xml:space="preserve">Librarian—school teacher. </w:t>
      </w:r>
      <w:r>
        <w:rPr>
          <w:rFonts w:ascii="Times New Roman" w:hAnsi="Times New Roman"/>
          <w:b w:val="false"/>
          <w:i w:val="false"/>
          <w:color w:val="000000"/>
          <w:sz w:val="22"/>
        </w:rPr>
        <w:t>K-8, 5-12, or PK-12.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Completion of 24 semester hours in school library coursework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Literacy and reading. This requirement includes the following competencies at the elementary level for K-8 and secondary level for 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Practitioners collaborate with other teachers to integrate developmentally appropriate literature in multiple formats to support literacy for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Practitioners demonstrate knowledge of resources and strategies to foster leisure reading and model personal enjoyment of reading, based on familiarity with selection tools and current trends in literature for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Practitioners understand how to develop a collection of reading and informational materials in print and digital formats that supports the diverse developmental, cultural, social and linguistic needs of all learners and their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Practitioners model and teach reading comprehension strategies to create meaning from text for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knowledge. 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Practitioners teach multiple strategies to locate, analyze, evaluate, and ethically use information in the context of inquiry-based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Practitioners advocate for flexible and open access to library resources, both physical and virtual.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Practitioners uphold and promote the legal and ethical codes of their profession, including privacy, confidentiality, freedom and equity of access to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Practitioners use skills and knowledge to assess reference sources, services, and tools in order to mediate between information needs and resources to assist learners in determining what they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Practitioners model and facilitate authentic learning with current and emerging digital tools for locating, analyzing, evaluating and ethically using information resources to support research, learning, creating, and communicating in a digital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Practitioners demonstrate knowledge of creative and innovative uses of technologies to engage students and facilitate higher-level thinking.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Practitioners develop an articulated information literacy curriculum grounded in research related to the information search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Practitioners understand the process of collecting, interpreting, and using data to develop new knowledge to improve the school library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Practitioners employ the methods of research in library and information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administration and leadership. 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Practitioners evaluate and select print, nonprint, and digital resources using professional selection tools and evaluation criteria to develop and manage a quality collection designed to meet the diverse curricular, personal, and professional needs of the educational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Practitioners demonstrate knowledge necessary to organize the library collections according to current standard library cataloging and classification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Practitioners develop policies and procedures to support ethical use of information, intellectual freedom, selection and reconsideration of library materials, and the privacy of users of all 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Practitioners develop strategies for working with regular classroom teachers, support services personnel, paraprofessionals, and other individuals involved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Practitioners demonstrate knowledge of best practices related to planning, budgeting (including alternative funding), organizing, and evaluating human and information resources and facilities to ensure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Practitioners understand strategic planning to ensure that the school library program addresses the needs of diverse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Practitioners advocate for school library and information programs, resources, and services among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Practitioners promote initiatives and partnerships to further the mission and goals of the school library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Practicum. This requirement includes the following competencies at the elementary level for K-8 and secondary level for 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Practitioners apply knowledge of learning styles, stages of human growth and development, and cultural influences of learning at the elementary or secondary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Practitioners implement the principles of effective teaching and learning that contribute to an active, inquiry-based approach to learning in a digital environment at the elementary or secondary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Practitioners understand the teacher librarian role in curriculum development and the school improvement process at the elementary or secondary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Practitioners collaborate to integrate information literacy and emerging technologies into content area curricula.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13.10(16)</w:t>
      </w:r>
      <w:r>
        <w:rPr>
          <w:rFonts w:ascii="Times New Roman" w:hAnsi="Times New Roman"/>
          <w:b w:val="false"/>
          <w:i w:val="false"/>
          <w:color w:val="000000"/>
          <w:sz w:val="22"/>
        </w:rPr>
        <w:t> </w:t>
      </w:r>
      <w:r>
        <w:rPr>
          <w:rFonts w:ascii="Times New Roman" w:hAnsi="Times New Roman"/>
          <w:b w:val="false"/>
          <w:i/>
          <w:color w:val="000000"/>
          <w:sz w:val="22"/>
        </w:rPr>
        <w:t xml:space="preserve">Literacy—reading. </w:t>
      </w:r>
      <w:r>
        <w:rPr>
          <w:rFonts w:ascii="Times New Roman" w:hAnsi="Times New Roman"/>
          <w:b w:val="false"/>
          <w:i w:val="false"/>
          <w:color w:val="000000"/>
          <w:sz w:val="22"/>
        </w:rPr>
        <w:t>K-8 and 5-12. Completion of 24 semester hours in reading to include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Foundations of reading. </w:t>
      </w:r>
      <w:r>
        <w:rPr>
          <w:rFonts w:ascii="Times New Roman" w:hAnsi="Times New Roman"/>
          <w:b w:val="false"/>
          <w:i w:val="false"/>
          <w:color w:val="000000"/>
          <w:sz w:val="22"/>
        </w:rPr>
        <w:t>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the psychological, sociocultural, motivational, and linguistic foundations of reading and writing processes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a range of research pertaining to reading, writing, and learning, including the analysis of scientifically based reading research, and knowledge of histories of reading. The range of research encompasses research traditions from the fields of the social sciences and other paradigms appropriate for informing practice and also definitions of reading difficulties including but not limited to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the major components of reading, such as comprehension, vocabulary, word identification, fluency, phonics, and phonemic awareness, and effectively integrates curricular standards with student interests, motivation, and background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Reading curriculum and instruction. </w:t>
      </w:r>
      <w:r>
        <w:rPr>
          <w:rFonts w:ascii="Times New Roman" w:hAnsi="Times New Roman"/>
          <w:b w:val="false"/>
          <w:i w:val="false"/>
          <w:color w:val="000000"/>
          <w:sz w:val="22"/>
        </w:rPr>
        <w:t>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designing and implementing an integrated, comprehensive, and balanced curriculum that addresses the major components of reading and contains a wide range of texts, including but not limited to narrative, expository, and poetry, and including traditional print, digital, and online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uses knowledge of a range of research-based strategies and instructional technology for designing and delivering effective instruction, including appropriate interventions, remediation, assistive technology, and classroom accommodations for students with dyslexia and other difficulties.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grouping students, selecting materials appropriate for learners with diverse abilities at various stages of reading and writing development, differentiating instruction to meet the unique needs of all learners, including students with dyslexia, offering sufficient opportunities for students to practice reading skills, and providing frequent and specific instructional feedback to guide students’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designing instruction to meet the needs of diverse populations, including populations in urban, suburban, and rural settings, as well as for students from various cultural and linguistic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creating a literate physical environment that is low risk, supports students as agents of their own learning, and supports a positive socio-emotional impact for students to identify as readers.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Reading assessment, diagnosis and evaluation. </w:t>
      </w:r>
      <w:r>
        <w:rPr>
          <w:rFonts w:ascii="Times New Roman" w:hAnsi="Times New Roman"/>
          <w:b w:val="false"/>
          <w:i w:val="false"/>
          <w:color w:val="000000"/>
          <w:sz w:val="22"/>
        </w:rPr>
        <w:t>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understands types of reading and writing assessments and their purposes, strengths,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selecting and developing appropriate assessment instruments, procedures, and practices that range from individual to group and from formal to informal to alternative for the identification, screening, and diagnosis of all students’ reading proficiencies and needs including knowledge of the signs and symptoms of dyslexia and other reading difficulties.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assessment data analysis to inform, plan, measure, progress monitor, and revise instruction for all students and to communicate the outcomes of ongoing assessments to all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awareness of policies and procedures related to special programs, including Title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Reading in the content areas. </w:t>
      </w:r>
      <w:r>
        <w:rPr>
          <w:rFonts w:ascii="Times New Roman" w:hAnsi="Times New Roman"/>
          <w:b w:val="false"/>
          <w:i w:val="false"/>
          <w:color w:val="000000"/>
          <w:sz w:val="22"/>
        </w:rPr>
        <w:t>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knowledge of morphology and the etymology of words, along with text structure and the dimensions of content area vocabulary and comprehension, including literal, interpretive, critical, and evaluative.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demonstrates an understanding of reading theory, reading knowledge, and a variety of research-based strategies and approaches to provide effective literacy instruction into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practitioner demonstrates knowledge of integrating literacy instruction into content areas for all students, including but not limited to students with disabilities, students who are at risk of academic failure, students who have been identified as gifted and talented, students who have limited English language proficiency, and students with dyslexia, whether or not such students have been identified as children requiring special education under Iowa Code chapter </w:t>
      </w:r>
      <w:hyperlink r:id="rId1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Language development. </w:t>
      </w:r>
      <w:r>
        <w:rPr>
          <w:rFonts w:ascii="Times New Roman" w:hAnsi="Times New Roman"/>
          <w:b w:val="false"/>
          <w:i w:val="false"/>
          <w:color w:val="000000"/>
          <w:sz w:val="22"/>
        </w:rPr>
        <w:t>This requirement includes the following competency: The practitioner uses knowledge of oral language development, linguistics including phonology and phonological awareness, sound-symbol association, syllable types, morphology, syntax and semantics and the relationship of these components to typical and atypical reading development and reading instruction, cognitive academic language development, oral and written language proficiency (including second language development), acquisition of reading skills, and the variations related to cultural and linguistic diversity to provide effective instruction in reading and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Oral communication instruction. </w:t>
      </w:r>
      <w:r>
        <w:rPr>
          <w:rFonts w:ascii="Times New Roman" w:hAnsi="Times New Roman"/>
          <w:b w:val="false"/>
          <w:i w:val="false"/>
          <w:color w:val="000000"/>
          <w:sz w:val="22"/>
        </w:rPr>
        <w:t>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has knowledge of the unique needs and backgrounds of students with language differences and delays.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uses effective strategies for facilitating the learning of language for academic purposes by all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instruction. </w:t>
      </w:r>
      <w:r>
        <w:rPr>
          <w:rFonts w:ascii="Times New Roman" w:hAnsi="Times New Roman"/>
          <w:b w:val="false"/>
          <w:i w:val="false"/>
          <w:color w:val="000000"/>
          <w:sz w:val="22"/>
        </w:rPr>
        <w:t>This requirement includes the following competency: The practitioner uses knowledge of reading-writing-speaking connections; the writing process to include structures of language and grammar; the stages of spelling development; the different types of writing, such as narrative, expressive, persuasive, informational, and descriptive; and the connections between oral and written language development to effectively teach writing as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Children’s fiction and nonfiction (K-8 only) or adolescent or young adult fiction and nonfiction (5-12 only). </w:t>
      </w:r>
      <w:r>
        <w:rPr>
          <w:rFonts w:ascii="Times New Roman" w:hAnsi="Times New Roman"/>
          <w:b w:val="false"/>
          <w:i w:val="false"/>
          <w:color w:val="000000"/>
          <w:sz w:val="22"/>
        </w:rPr>
        <w:t>This requirement includes the following competency: The practitioner uses knowledge of children’s literature (K-8) or adolescent or young adult literature (5-12)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Modeling the reading and writing of varied genres, including fiction and nonfiction; technology- and media-based information; and nonprint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Motivating through the use of texts at multiple levels, representing broad interests, and reflecting varied cultures, linguistic backgrounds, and perspectives;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Matching text complexities to the proficiencies and needs of readers.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This requirement includes the following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works with appropriately licensed professionals who observe, evaluate, and provide feedback on the practitioner’s knowledge, dispositions, and performance of the teaching of reading and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effectively uses reading and writing strategies, materials, and assessments based upon appropriate reading and writing research and works with colleagues and families in the support of children’s reading and writing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13.10(17)</w:t>
      </w:r>
      <w:r>
        <w:rPr>
          <w:rFonts w:ascii="Times New Roman" w:hAnsi="Times New Roman"/>
          <w:b w:val="false"/>
          <w:i w:val="false"/>
          <w:color w:val="000000"/>
          <w:sz w:val="22"/>
        </w:rPr>
        <w:t> </w:t>
      </w:r>
      <w:r>
        <w:rPr>
          <w:rFonts w:ascii="Times New Roman" w:hAnsi="Times New Roman"/>
          <w:b w:val="false"/>
          <w:i/>
          <w:color w:val="000000"/>
          <w:sz w:val="22"/>
        </w:rPr>
        <w:t xml:space="preserve">Literacy—reading specialist. </w:t>
      </w:r>
      <w:r>
        <w:rPr>
          <w:rFonts w:ascii="Times New Roman" w:hAnsi="Times New Roman"/>
          <w:b w:val="false"/>
          <w:i w:val="false"/>
          <w:color w:val="000000"/>
          <w:sz w:val="22"/>
        </w:rPr>
        <w:t>K-12. The applicant will have met the requirements for the standard license and a K-8 or 5-12 reading endorsement and will present evidence of at least three years of experience that included the teaching of reading as a significant part of the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serve as a reading specialist in kindergarten and grades 1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Degree—master’s.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Completion of a sequence of courses and experiences, which may have been a part of, or in addition to, the degree requirements. This sequence is to be at least 24 semester hours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Foundations of reading. The reading specialist will understand the historical, theoretical, and evidence-based foundations of reading and writing processes and instruction and will be able to interpret these findings to model exemplary instructional methods for students with typical and atypical literacy development and effectively develop and lead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and instruction. The reading specialist will use instructional approaches, materials, and an integrated, comprehensive, balanced curriculum to support student learning in reading and writing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collaboratively with teachers to develop a literacy curriculum that has vertical and horizontal alignment K-12 and that uses instructional approaches supported by literature and research for the following areas: print, phonemic awareness, phonics, fluency, comprehension, vocabulary, writing, critical thinking, and 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classroom teachers to implement and adapt in-depth instructional approaches, including but not limited to approaches to improve decoding, comprehension, and information retention, to meet the language-proficiency needs of English language learners and the needs of students with reading difficulties or reading disabilities, including appropriate interventions, remediation, assistive technology, and classroom accommodations for students with dyslexia and other difficulties within or outside the regular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a wide variety of quality traditional print, digital, and online resources and support classroom teachers in building and using a quality, accessible classroom library and materials collection that meets the specific needs and abilities of all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support for curriculum and instruction through modeling, coteaching, observing, planning, reviewing literacy data, and providing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The reading specialist will use a variety of assessment tools and practices to plan and evaluate effective reading and writing instruction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the literature and research related to assessments and their purposes, including the strengths and limitations of assessments, and assessment tools for screening, diagnosis, progress monitoring, and measuring outcomes; demonstrate an understanding of the signs and symptoms of reading difficulties including but not limited to dyslexia; and also demonstrate an understanding of district and state assessments, proficiency standards and student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 administer, and interpret assessments for specific purposes, including collaboration with teachers in the analysis of data, and leading schoolwide or districtwide scale analyses to select assessment tools that provide a systemic framework for assessing reading, writing, and language growth of all students, including those with reading difficulties and reading disabilities including but not limited to students with dyslexia and English language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assessment information to plan and evaluate instruction, including multiple data sources for analysis and instructional planning, for examining the effectiveness of specific intervention practices and students’ responses to interventions including appropriate interventions, remediation, assistive technology, and classroom accommodations for students with dyslexia and other difficulties, and to plan professional development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Communicate assessment results and implications to a variety of audiences.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Administration and supervision of reading programs. The reading specialist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foundational knowledge of adult learning theories and related research about organizational change, professional development, and school 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the practical application of literacy leadership including planning, developing, supervising, and evaluating literacy programs at all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supervising an overall reading program, including but not limited to staffing; budgetary practices; planning, preparing, and selecting materials; subsystems; special provisions; and evaluating teacher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Participate in, design, facilitate, lead, and evaluate effective and differentiated professional development programs to effectively implement literacy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local, state, and national policies that affect reading and writing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Promote effective communication and collaboration among stakeholders, including parents and guardians, teachers, administrators, policymakers, and community members, and advocate for change when necessary to promote effective literacy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Educational research, measurement and evaluation. The reading specialist will effectively utilize existing research and learn to conduct new research to continuously improve the design and implementation of a comprehensive reading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Psychology of language and reading. The reading specialist will understand the highly complex processes by which children learn to speak, read, and write, including language acquisition, linguistics including phonology and phonological awareness, sound-symbol association, syllable types, morphology, syntax and semantics and the relationship of these components to typical and atypical reading development and reading instruction, ranges of individual differences, reading difficulties and reading disabilities, including but not limited to dyslexia, and the importance of the role of diversity in learning to read and write.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Practicum in reading leadership. The reading specialist will participate in elementary and secondary practicum experiences with licensed teachers who are serving in leadership roles in the area of reading.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13.10(18)</w:t>
      </w:r>
      <w:r>
        <w:rPr>
          <w:rFonts w:ascii="Times New Roman" w:hAnsi="Times New Roman"/>
          <w:b w:val="false"/>
          <w:i w:val="false"/>
          <w:color w:val="000000"/>
          <w:sz w:val="22"/>
        </w:rPr>
        <w:t> </w:t>
      </w:r>
      <w:r>
        <w:rPr>
          <w:rFonts w:ascii="Times New Roman" w:hAnsi="Times New Roman"/>
          <w:b w:val="false"/>
          <w:i/>
          <w:color w:val="000000"/>
          <w:sz w:val="22"/>
        </w:rPr>
        <w:t xml:space="preserve">Literacy—dyslexia specialist. </w:t>
      </w:r>
      <w:r>
        <w:rPr>
          <w:rFonts w:ascii="Times New Roman" w:hAnsi="Times New Roman"/>
          <w:b w:val="false"/>
          <w:i w:val="false"/>
          <w:color w:val="000000"/>
          <w:sz w:val="22"/>
        </w:rPr>
        <w:t>K-12. The applicant will have met the requirements for the standard license and have completed at least three years of postbaccalaureate teaching experience in a K-12 setting. Applicants who have achieved dyslexia certification in another state may apply for a certification review through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holder of this endorsement is authorized to serve as a dyslexia specialist in kindergarten and grades 1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Completion of 18 semester hours in dyslexia strategies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of dyslexia. The dyslexia specialist will have knowledge of dyslexia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Understand the tenets of the International Dyslexia Association’s definition of dyslexia, including the neurobiological nature and cognitive-linguistic correlates.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distinguishing characteristics of dyslexia and commonly co-occurring disorders, including dysgraphia, dyscalculia, attention deficit hyperactivity disorder, expressive language disorders, receptive language disorders,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Recognize that dyslexia may present differently along a continuum of severity and impact depending upon age, grade, and compensatory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Understand federal and state laws that pertain to dyslexia, including use of the word “dyslexia” within school settings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Understand common misconceptions regarding characteristics of and interventions for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Psychology of language and reading. The dyslexia specialist will understand the highly complex processes by which children learn to speak, read, and write, including language acquisition, linguistics, and the structure of written language, including phonological processing, phonics, orthography, morphology, syntax, and semantics, as well as the relationship of these components to typical and atypical reading and writing development and instruction for students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Curriculum and instruction. The dyslexia specialist will use appropriate instructional approaches and materials including preparation in more than one curriculum as well as integrated, comprehensive, explicit, and systematic literacy instruction to support student learning in reading and writing,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 utilizing multisensory and multimodal strategies (visual, auditory, kinesthetic, and tactile), systematic and cumulative instruction, direct instruction, diagnostic and prescriptive teaching, as well as synthetic and analytic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Instructional approaches supported by the science of reading for the following areas: phonological processing, phonics, fluency, comprehension, vocabulary, spelling, and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Creation of a dyslexia-friendly learning environment (within or outside the regular classroom) utilizing evidence-based accommodations and modifications to meet the needs of students with dyslexia, including appropriate interventions, remediation, assistive technology, and classroom accommodations for students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data to determine effectiveness of the instruction and curriculum along with student responsiveness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evaluation. The dyslexia specialist will be confident using a variety of formal assessment tools and practices to evaluate students’ reading and writing abilities in a variety of domains. The dyslexia specialist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the literature and research related to assessments and their purposes (including the strengths and limitations of assessments) and assessment tools for screening, diagnosis, progress monitoring, and measuring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the signs and symptoms of reading difficulties, including but not limited to dyslexia, and also demonstrate an understanding of norms and student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administer, and interpret assessments for specific purposes, including screening students at risk for dyslexia and identifying students who display a profile of dyslexia,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Understand the features of standardized norm-referenced assessments.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Understand the importance of selecting reliable and valid assessments to evaluate typical and atypical reading development.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Interpret various scores derived from standardized norm-referenced and criterion-referenced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assessment information to plan and evaluate instruction, including appropriate interventions, remediation, assistive technology, and classroom accommodations for students with dyslexia and other difficulties. This will include the use of multiple data sources for analysis, instructional planning, examining the effectiveness of specific intervention practices, and examining students’ responses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Communicate assessment results and implications to a variety of audiences, including staff, parents,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Understand appropriate IEP goals and Section 504 plans for students who display characteristics of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Practicum in dyslexia. The dyslexia specialist will participate in elementary and secondary practicum experiences with instructors who have experience with and are currently serving students who display characteristics of dyslexia. The practicum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Supervised administration of norm-referenced literacy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composing a report of literacy assessment results that will include interpretation of the results and instructional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Supervised delivery of systematic, explicit, and multisensory intervention for students with characteristics of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Practice composing a report of students’ response to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13.10(19)</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K-8. </w:t>
      </w:r>
      <w:r>
        <w:rPr>
          <w:rFonts w:ascii="Times New Roman" w:hAnsi="Times New Roman"/>
          <w:b w:val="false"/>
          <w:i w:val="false"/>
          <w:color w:val="000000"/>
          <w:sz w:val="22"/>
        </w:rPr>
        <w:t>Completion of 24 semester hours in mathematics to include coursework in algebra, geometry, number theory, measurement, computer programming, and probability and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5-12.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24 semester hours in mathematics to include a linear algebra or an abstract (modern) algebra course, a geometry course, a two-course sequence in calculus, a computer programming course, a probability and statistics course, and coursework in discrete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holders of the 5-12 physics or 5-12 all science endorsement, completion of 17 semester hours in mathematics to include a geometry course, a two-course sequence in calculus, a probability and statistics course, and coursework in discrete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5-8 algebra for high school credit. </w:t>
      </w:r>
      <w:r>
        <w:rPr>
          <w:rFonts w:ascii="Times New Roman" w:hAnsi="Times New Roman"/>
          <w:b w:val="false"/>
          <w:i w:val="false"/>
          <w:color w:val="000000"/>
          <w:sz w:val="22"/>
        </w:rPr>
        <w:t>Hold a K-8 mathematics, middle school mathematics, K-8 STEM, or 5-8 STEM endorsement and complete a course titled college algebra or a higher algebra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5-12 mathematics—basic. </w:t>
      </w:r>
      <w:r>
        <w:rPr>
          <w:rFonts w:ascii="Times New Roman" w:hAnsi="Times New Roman"/>
          <w:b w:val="false"/>
          <w:i w:val="false"/>
          <w:color w:val="000000"/>
          <w:sz w:val="22"/>
        </w:rPr>
        <w:t>Completion of 24 semester hours in mathematics, which will minimally include a course titled college algebra or a higher algebra course, a geometry course, a computer programming course, and a probability and statistics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13.10(20)</w:t>
      </w:r>
      <w:r>
        <w:rPr>
          <w:rFonts w:ascii="Times New Roman" w:hAnsi="Times New Roman"/>
          <w:b w:val="false"/>
          <w:i w:val="false"/>
          <w:color w:val="000000"/>
          <w:sz w:val="22"/>
        </w:rPr>
        <w:t> </w:t>
      </w:r>
      <w:r>
        <w:rPr>
          <w:rFonts w:ascii="Times New Roman" w:hAnsi="Times New Roman"/>
          <w:b w:val="false"/>
          <w:i/>
          <w:color w:val="000000"/>
          <w:sz w:val="22"/>
        </w:rPr>
        <w:t xml:space="preserve">Middle school language arts, mathematics, science, social studies.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Middle school pedagogy. </w:t>
      </w:r>
      <w:r>
        <w:rPr>
          <w:rFonts w:ascii="Times New Roman" w:hAnsi="Times New Roman"/>
          <w:b w:val="false"/>
          <w:i w:val="false"/>
          <w:color w:val="000000"/>
          <w:sz w:val="22"/>
        </w:rPr>
        <w:t>A minimum of nine semester hours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Coursework in the growth and development of the middle school age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Coursework in middle school design, curriculum, instruction,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Coursework in middle school literacy strategies including incorporating literacy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Concentration areas. </w:t>
      </w:r>
      <w:r>
        <w:rPr>
          <w:rFonts w:ascii="Times New Roman" w:hAnsi="Times New Roman"/>
          <w:b w:val="false"/>
          <w:i w:val="false"/>
          <w:color w:val="000000"/>
          <w:sz w:val="22"/>
        </w:rPr>
        <w:t>Two or more of the following concentration areas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5-8 language arts, 12 semester hours in language arts to include coursework in composition, language usage, speech, young adult literature, and literature across cultures.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5-8 mathematics, 12 semester hours in mathematics to include coursework in algebra.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5-8 science, 12 semester hours in science to include coursework in life science, earth science, and physical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5-8 social studies, 12 semester hours to include coursework in United States history, world history, government and geography.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13.10(21)</w:t>
      </w:r>
      <w:r>
        <w:rPr>
          <w:rFonts w:ascii="Times New Roman" w:hAnsi="Times New Roman"/>
          <w:b w:val="false"/>
          <w:i w:val="false"/>
          <w:color w:val="000000"/>
          <w:sz w:val="22"/>
        </w:rPr>
        <w:t> </w:t>
      </w:r>
      <w:r>
        <w:rPr>
          <w:rFonts w:ascii="Times New Roman" w:hAnsi="Times New Roman"/>
          <w:b w:val="false"/>
          <w:i/>
          <w:color w:val="000000"/>
          <w:sz w:val="22"/>
        </w:rPr>
        <w:t xml:space="preserve">Multioccupations. </w:t>
      </w:r>
      <w:r>
        <w:rPr>
          <w:rFonts w:ascii="Times New Roman" w:hAnsi="Times New Roman"/>
          <w:b w:val="false"/>
          <w:i w:val="false"/>
          <w:color w:val="000000"/>
          <w:sz w:val="22"/>
        </w:rPr>
        <w:t>5-12. Completion of any 5-12 endorsement and coursework in foundations of career and technical education and coordination of cooperative programs. Holders of the career and technical authorization are eligible to apply to add this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13.10(22)</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K-8 and 5-12. Completion of 24 semester hours in music to include coursework in music theory (at least two courses), music history (at least two courses), applied music, a methods course in each of the following: general, choral, and instrumental music, and for the 5-12 endorsement only, coursework in conducting.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13.10(23)</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K-8. </w:t>
      </w:r>
      <w:r>
        <w:rPr>
          <w:rFonts w:ascii="Times New Roman" w:hAnsi="Times New Roman"/>
          <w:b w:val="false"/>
          <w:i w:val="false"/>
          <w:color w:val="000000"/>
          <w:sz w:val="22"/>
        </w:rPr>
        <w:t>Completion of 24 semester hours in physical education to include coursework in human anatomy, human physiology, movement education, adaptive physical education, personal wellness, human growth and development of children related to physical education, and first aid and emergency care. A current certificate of CPR training is required in addition to the coursework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5-12. </w:t>
      </w:r>
      <w:r>
        <w:rPr>
          <w:rFonts w:ascii="Times New Roman" w:hAnsi="Times New Roman"/>
          <w:b w:val="false"/>
          <w:i w:val="false"/>
          <w:color w:val="000000"/>
          <w:sz w:val="22"/>
        </w:rPr>
        <w:t>Completion of 24 semester hours in physical education to include coursework in human anatomy, kinesiology, human physiology, human growth and development related to maturational and motor learning, adaptive physical education, curriculum and administration of physical education, personal wellness, and first aid and emergency care. A current certificate of CPR training is required in addition to the coursework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13.10(24)</w:t>
      </w:r>
      <w:r>
        <w:rPr>
          <w:rFonts w:ascii="Times New Roman" w:hAnsi="Times New Roman"/>
          <w:b w:val="false"/>
          <w:i w:val="false"/>
          <w:color w:val="000000"/>
          <w:sz w:val="22"/>
        </w:rPr>
        <w:t> </w:t>
      </w:r>
      <w:r>
        <w:rPr>
          <w:rFonts w:ascii="Times New Roman" w:hAnsi="Times New Roman"/>
          <w:b w:val="false"/>
          <w:i/>
          <w:color w:val="000000"/>
          <w:sz w:val="22"/>
        </w:rPr>
        <w:t xml:space="preserve">Professional school counselor. </w:t>
      </w:r>
      <w:r>
        <w:rPr>
          <w:rFonts w:ascii="Times New Roman" w:hAnsi="Times New Roman"/>
          <w:b w:val="false"/>
          <w:i w:val="false"/>
          <w:color w:val="000000"/>
          <w:sz w:val="22"/>
        </w:rPr>
        <w:t>K-8 and 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Master’s degree from an accredited institution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Completion of a sequence of courses and experiences that may have been a part of, or in addition to, the degree requirements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Nature and needs of individuals at all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strategies for facilitating development through the transition from childhood to adolescence and from adolescence to young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 knowledge of learning and personality development to assist students in developing their full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and cultural foundations.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awareness of and sensitivity to the unique social, cultural, and economic circumstances of students and their racial/ethnic, gender, age, physical, and learning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sensitivity to the nature and the functioning of the student within the family, school and community contexts.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the counseling and consultation skills needed to facilitate informed and appropriate action in response to the needs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Fostering of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 effective counseling and consultation skills with students, parents, colleagues, administrators,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Communicate effectively with parents, colleagues, students and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Counsel students in the areas of personal, social, academic, and career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families in helping their children address the personal, social, and emotional concerns and problems that may impede educational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 developmentally appropriate counseling interventions with children and adolescents.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negotiate and move individuals and groups toward consensus or conflict resolution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Refer students for specialized help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Value the well-being of the students as paramount in the counseling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Group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 developmentally appropriate interventions involving group dynamics, counseling theories, group counseling methods and skills, and other group work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 knowledge of group counseling in implementing appropriate group processes for elementary, middle school, and secondary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Career development, education, and postsecondary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students in the assessment of their individual strengths, weaknesses, and differences, including those that relate to academic achievement and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 knowledge of career assessment and career choice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 occupational and educational placement, follow-up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 a counseling network and provide resources for use by students in personalizing the exploration of postsecondary educational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individual and group approaches to 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the proper administration and uses of standardized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Apply knowledge of test administration, scoring, and measurement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Apply evaluation procedures for monitoring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Apply assessment information in program design and program modifications to address students’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Apply knowledge of legal and ethical issues related to assessment and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Professional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 knowledge of history, roles, organizational structures, ethics, standards, and credentialing.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high level of professional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Apply knowledge of professional and ethical standards to the practice of school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Articulate the professional school counselor role to school personnel, parents, community,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School counseling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 implement, and evaluate a comprehensive, developmental school counseling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and evaluate specific strategies designed to meet program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 and coordinate efforts with resource persons, specialists, businesses, and agencies outside the school to promote program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information appropriate to the particular educational transition and assist students in understanding the relationship that their curricular experiences and academic achievements will have on subsequent educational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parents and families in order to provide a supportive environment in which students can become effective learners and achieve success in pursuit of appropriate educational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training, orientation, and consultation assistance to faculty, administrators, staff, and school officials to assist them in responding to the social, emotional, and educational development of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Collaborate with teachers, administrators, and other educators in ensuring that appropriate educational experiences are provided that allow all students to achieve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in the process of identifying and addressing the needs of the exceptional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Apply knowledge of legal and ethical issues related to child abuse and mandatory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Advocate for the educational needs of students and work to ensure that these needs are addressed at every level of the school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Promote use of school counseling and educational and career planning activities and programs involving the total school community to provide a positive school climate.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Classroom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 effective classroom management strategies as demonstrated in delivery of classroom and large group school counseling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teachers and parents about effective classroom management and behavior management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Write classroom lessons including objectives, learning activities, and discussion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Utilize various methods of evaluating what students have learned in classroom lessons.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competency in conducting classroom and other large group activities, utilizing an effective lesson plan design, engaging students in the learning process, and employing age-appropriate classroom management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Design a classroom unit of developmentally appropriate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knowledge in writing standards and benchmarks for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Learning theory.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and consult with teachers about how to create a positive learning environment utilizing such factors as effective classroom management strategies, building a sense of community in the classroom, and cooperative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and consult with teachers regarding teaching strategies designed to motivate students using small group learning activities, experiential learning activities, student mentoring programs, and shared decision-making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child and adolescent development and identify developmentally appropriate teaching and learning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Teaching and counseling practicum. The candidate will complete a preservice supervised practicum of a minimum of 100 hours, and at least 40 of these hours will be direct service. Candidates will complete a supervised internship for a minimum of 600 hours, and at least 240 of these hours will be direct service. For candidates seeking both the K-8 and 5-12 professional school counselor endorsements, a minimum of 100 hours of the practicum or internship experiences listed above will be completed at each of the desired endorsement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13.10(25)</w:t>
      </w:r>
      <w:r>
        <w:rPr>
          <w:rFonts w:ascii="Times New Roman" w:hAnsi="Times New Roman"/>
          <w:b w:val="false"/>
          <w:i w:val="false"/>
          <w:color w:val="000000"/>
          <w:sz w:val="22"/>
        </w:rPr>
        <w:t> </w:t>
      </w:r>
      <w:r>
        <w:rPr>
          <w:rFonts w:ascii="Times New Roman" w:hAnsi="Times New Roman"/>
          <w:b w:val="false"/>
          <w:i/>
          <w:color w:val="000000"/>
          <w:sz w:val="22"/>
        </w:rPr>
        <w:t xml:space="preserve">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Science—basic. </w:t>
      </w:r>
      <w:r>
        <w:rPr>
          <w:rFonts w:ascii="Times New Roman" w:hAnsi="Times New Roman"/>
          <w:b w:val="false"/>
          <w:i w:val="false"/>
          <w:color w:val="000000"/>
          <w:sz w:val="22"/>
        </w:rPr>
        <w:t>K-8. Completion of at least 24 semester hours in science to include 12 hours in physical sciences, 6 hours in biology, and 6 hours in earth/space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Biological science. </w:t>
      </w:r>
      <w:r>
        <w:rPr>
          <w:rFonts w:ascii="Times New Roman" w:hAnsi="Times New Roman"/>
          <w:b w:val="false"/>
          <w:i w:val="false"/>
          <w:color w:val="000000"/>
          <w:sz w:val="22"/>
        </w:rPr>
        <w:t>5-12. Completion of 24 semester hours in biological science or 30 semester hours in the broad area of science to include 15 semester hours in biological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Chemistry. </w:t>
      </w:r>
      <w:r>
        <w:rPr>
          <w:rFonts w:ascii="Times New Roman" w:hAnsi="Times New Roman"/>
          <w:b w:val="false"/>
          <w:i w:val="false"/>
          <w:color w:val="000000"/>
          <w:sz w:val="22"/>
        </w:rPr>
        <w:t>5-12. Completion of 24 semester hours in chemistry or 30 semester hours in the broad area of science to include 15 semester hours in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Earth science. </w:t>
      </w:r>
      <w:r>
        <w:rPr>
          <w:rFonts w:ascii="Times New Roman" w:hAnsi="Times New Roman"/>
          <w:b w:val="false"/>
          <w:i w:val="false"/>
          <w:color w:val="000000"/>
          <w:sz w:val="22"/>
        </w:rPr>
        <w:t>5-12. Completion of 24 semester hours in earth science or 30 semester hours in the broad area of science to include 15 semester hours in earth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Physics.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5-12. Completion of 24 semester hours in physics or 30 semester hours in the broad area of science to include 15 semester hours in physics.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holders of the mathematics 5-12 endorsement,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12 credits of physics to include coursework in mechanics, electricity, and magnetism;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methods class that includes inquiry-based instruction, resource management, and laboratory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holders of the chemistry 5-12 endorsement, completion of 12 credits of physics to include coursework in mechanics, electricity, and magnetism.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Basic science. </w:t>
      </w:r>
      <w:r>
        <w:rPr>
          <w:rFonts w:ascii="Times New Roman" w:hAnsi="Times New Roman"/>
          <w:b w:val="false"/>
          <w:i w:val="false"/>
          <w:color w:val="000000"/>
          <w:sz w:val="22"/>
        </w:rPr>
        <w:t>5-12. Completion of 24 semester hours of credit in science to include 6 semester hours in earth and space science, 6 semester hours in life science/biological science, 6 semester hours in physics/physical science, and 6 semester hours of credit in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 science. </w:t>
      </w:r>
      <w:r>
        <w:rPr>
          <w:rFonts w:ascii="Times New Roman" w:hAnsi="Times New Roman"/>
          <w:b w:val="false"/>
          <w:i w:val="false"/>
          <w:color w:val="000000"/>
          <w:sz w:val="22"/>
        </w:rPr>
        <w:t>5-12. Completion of 36 semester hours in science to include 9 semester hours in earth and space science, 9 semester hours in life science/biological science, 9 semester hours in physics/physical science, and 9 semester hours of credit in chemistry.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13.10(26)</w:t>
      </w:r>
      <w:r>
        <w:rPr>
          <w:rFonts w:ascii="Times New Roman" w:hAnsi="Times New Roman"/>
          <w:b w:val="false"/>
          <w:i w:val="false"/>
          <w:color w:val="000000"/>
          <w:sz w:val="22"/>
        </w:rPr>
        <w:t> </w:t>
      </w:r>
      <w:r>
        <w:rPr>
          <w:rFonts w:ascii="Times New Roman" w:hAnsi="Times New Roman"/>
          <w:b w:val="false"/>
          <w:i/>
          <w:color w:val="000000"/>
          <w:sz w:val="22"/>
        </w:rPr>
        <w:t xml:space="preserve">STEM. </w:t>
      </w:r>
      <w:r>
        <w:rPr>
          <w:rFonts w:ascii="Times New Roman" w:hAnsi="Times New Roman"/>
          <w:b w:val="false"/>
          <w:i w:val="false"/>
          <w:color w:val="000000"/>
          <w:sz w:val="22"/>
        </w:rPr>
        <w:t>K-8 and 5-8. For 5-8 STEM, be the holder of a 5-12 science, mathematics, or industrial technology endorsement or 5-8 middle school mathematics or science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12 semester hours of college-level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12 semester hours of college-level math (or the completion of Calculus I) to include coursework in computer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three semester hours of coursework in content or pedagogy of engineering and technological design that includes engineering design processes or programming logic and problem-solving models and that may be met through either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Engineering and technological design courses for education majors;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Technology or engineering content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six semester hours of required coursework in STEM curriculum and methods to include the following essential concepts and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Comparing and contrasting the nature and goals of each of the STEM disciplines;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Promoting learning through purposeful, authentic, real-world connections;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Integration of content and context of each of the STEM disciplines;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Interdisciplinary/transdisciplinary approaches to teaching (including but not limited to problem-based learning and project-based learning);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Curriculum and standards mapping;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Engaging subject-matter experts (including but not limited to colleagues, parents, higher education faculty/students, business partners, and informal education agencies) in STEM experiences in and out of the classroom;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of integrative learning approaches;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literacy skills in 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Processes of science and scientific inquiry;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Mathematical problem-solving models;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Communicating to a variety of audiences;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Classroom management in project-based classrooms;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Instructional strategies for the inclusive classroom;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Computational thinking;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Mathematical and technological modeling.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of a STEM field experience of a minimum of 30 contact hours that may be met through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Completing a STEM research experience;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Participating in a STEM internship at a STEM business or informal education organization;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Leading a STEM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STEM specialist K-12.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The holder of this endorsement is authorized to serve as a STEM specialist in kindergarten and grades 1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met the requirements for a standard Iowa teaching license and a teaching endorsement in mathematics, science, engineering, industrial technology, or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will hold a master’s degree in math, science, engineering or technology or another area with at least 12 hours of college-level science and at least 12 hours of college-level math (or completion of Calculus I) to include coursework in computer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 Completion of the engineering and STEM coursework required for the K-8 or 5-8 STEM endorsement, three additional semester hours in STEM leadership, and an internship/externship professional experience or prior professional experience in STEM for a minimum of 90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13.10(27)</w:t>
      </w:r>
      <w:r>
        <w:rPr>
          <w:rFonts w:ascii="Times New Roman" w:hAnsi="Times New Roman"/>
          <w:b w:val="false"/>
          <w:i w:val="false"/>
          <w:color w:val="000000"/>
          <w:sz w:val="22"/>
        </w:rPr>
        <w:t> </w:t>
      </w:r>
      <w:r>
        <w:rPr>
          <w:rFonts w:ascii="Times New Roman" w:hAnsi="Times New Roman"/>
          <w:b w:val="false"/>
          <w:i/>
          <w:color w:val="000000"/>
          <w:sz w:val="22"/>
        </w:rPr>
        <w:t xml:space="preserve">Social sciences.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American government. </w:t>
      </w:r>
      <w:r>
        <w:rPr>
          <w:rFonts w:ascii="Times New Roman" w:hAnsi="Times New Roman"/>
          <w:b w:val="false"/>
          <w:i w:val="false"/>
          <w:color w:val="000000"/>
          <w:sz w:val="22"/>
        </w:rPr>
        <w:t>5-12. Completion of 24 semester hours in American government or 30 semester hours in the broad area of social sciences to include 15 semester hours in American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American history. </w:t>
      </w:r>
      <w:r>
        <w:rPr>
          <w:rFonts w:ascii="Times New Roman" w:hAnsi="Times New Roman"/>
          <w:b w:val="false"/>
          <w:i w:val="false"/>
          <w:color w:val="000000"/>
          <w:sz w:val="22"/>
        </w:rPr>
        <w:t>5-12. Completion of 24 semester hours in American history or 30 semester hours in the broad area of social sciences to include 15 semester hours in American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Anthropology. </w:t>
      </w:r>
      <w:r>
        <w:rPr>
          <w:rFonts w:ascii="Times New Roman" w:hAnsi="Times New Roman"/>
          <w:b w:val="false"/>
          <w:i w:val="false"/>
          <w:color w:val="000000"/>
          <w:sz w:val="22"/>
        </w:rPr>
        <w:t>5-12. Completion of 24 semester hours in anthropology or 30 semester hours in the broad area of social sciences to include 15 semester hours in anthropology.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Economics. </w:t>
      </w:r>
      <w:r>
        <w:rPr>
          <w:rFonts w:ascii="Times New Roman" w:hAnsi="Times New Roman"/>
          <w:b w:val="false"/>
          <w:i w:val="false"/>
          <w:color w:val="000000"/>
          <w:sz w:val="22"/>
        </w:rPr>
        <w:t>5-12. Completion of 24 semester hours in economics or 30 semester hours in the broad area of social sciences to include 15 semester hours in economics or 30 semester hours in the broad area of business to include 15 semester hours in 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Geography. </w:t>
      </w:r>
      <w:r>
        <w:rPr>
          <w:rFonts w:ascii="Times New Roman" w:hAnsi="Times New Roman"/>
          <w:b w:val="false"/>
          <w:i w:val="false"/>
          <w:color w:val="000000"/>
          <w:sz w:val="22"/>
        </w:rPr>
        <w:t>5-12. Completion of 24 semester hours in geography or 30 semester hours in the broad area of social sciences to include 15 semester hours in geography.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History. </w:t>
      </w:r>
      <w:r>
        <w:rPr>
          <w:rFonts w:ascii="Times New Roman" w:hAnsi="Times New Roman"/>
          <w:b w:val="false"/>
          <w:i w:val="false"/>
          <w:color w:val="000000"/>
          <w:sz w:val="22"/>
        </w:rPr>
        <w:t>K-8. Completion of 24 semester hours in history to include at least 9 semester hours in American history and 9 semester hours in world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Psychology. </w:t>
      </w:r>
      <w:r>
        <w:rPr>
          <w:rFonts w:ascii="Times New Roman" w:hAnsi="Times New Roman"/>
          <w:b w:val="false"/>
          <w:i w:val="false"/>
          <w:color w:val="000000"/>
          <w:sz w:val="22"/>
        </w:rPr>
        <w:t>5-12. Completion of 24 semester hours in psychology or 30 semester hours in the broad area of social sciences to include 15 semester hours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K-8. Completion of 24 semester hours in social studies, to include coursework from at least three of these areas: history, sociology, economics, American government, psychology and geography.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Sociology. </w:t>
      </w:r>
      <w:r>
        <w:rPr>
          <w:rFonts w:ascii="Times New Roman" w:hAnsi="Times New Roman"/>
          <w:b w:val="false"/>
          <w:i w:val="false"/>
          <w:color w:val="000000"/>
          <w:sz w:val="22"/>
        </w:rPr>
        <w:t>5-12. Completion of 24 semester hours in sociology or 30 semester hours in the broad area of social sciences to include 15 semester hours in sociology.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World history. </w:t>
      </w:r>
      <w:r>
        <w:rPr>
          <w:rFonts w:ascii="Times New Roman" w:hAnsi="Times New Roman"/>
          <w:b w:val="false"/>
          <w:i w:val="false"/>
          <w:color w:val="000000"/>
          <w:sz w:val="22"/>
        </w:rPr>
        <w:t>5-12. Completion of 24 semester hours in world history or 30 semester hours in the broad area of social sciences to include 15 semester hours in world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All social sciences. </w:t>
      </w:r>
      <w:r>
        <w:rPr>
          <w:rFonts w:ascii="Times New Roman" w:hAnsi="Times New Roman"/>
          <w:b w:val="false"/>
          <w:i w:val="false"/>
          <w:color w:val="000000"/>
          <w:sz w:val="22"/>
        </w:rPr>
        <w:t>5-12. Completion of 51 semester hours in the social sciences to include 9 semester hours in each of American and world history, 9 semester hours in government, 6 semester hours in sociology, 6 semester hours in psychology other than educational psychology, 6 semester hours in geography, and 6 semester hours in 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Social sciences—basic. </w:t>
      </w:r>
      <w:r>
        <w:rPr>
          <w:rFonts w:ascii="Times New Roman" w:hAnsi="Times New Roman"/>
          <w:b w:val="false"/>
          <w:i w:val="false"/>
          <w:color w:val="000000"/>
          <w:sz w:val="22"/>
        </w:rPr>
        <w:t>5-12. Completion of 27 semester hours to include 9 semester hours in each of American history, world history, and American government. Holders of the 5-12 social sciences—basic endorsement may add the following endorsements with six semester hours per endorsement area: 5-12 economics, 5-12 geography, 5-12 psychology, or 5-12 sociology.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13.10(28)</w:t>
      </w:r>
      <w:r>
        <w:rPr>
          <w:rFonts w:ascii="Times New Roman" w:hAnsi="Times New Roman"/>
          <w:b w:val="false"/>
          <w:i w:val="false"/>
          <w:color w:val="000000"/>
          <w:sz w:val="22"/>
        </w:rPr>
        <w:t> </w:t>
      </w:r>
      <w:r>
        <w:rPr>
          <w:rFonts w:ascii="Times New Roman" w:hAnsi="Times New Roman"/>
          <w:b w:val="false"/>
          <w:i/>
          <w:color w:val="000000"/>
          <w:sz w:val="22"/>
        </w:rPr>
        <w:t xml:space="preserve">Talented and gifted. </w:t>
      </w:r>
      <w:r>
        <w:rPr>
          <w:rFonts w:ascii="Times New Roman" w:hAnsi="Times New Roman"/>
          <w:b w:val="false"/>
          <w:i w:val="false"/>
          <w:color w:val="000000"/>
          <w:sz w:val="22"/>
        </w:rPr>
        <w:t>Completion of 12 semester hours of coursework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Psychology of the gifted.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Programming for the gifted.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Prekindergarten-12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Differentiation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Collaborative teaching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 goals and performance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Practicum experience in gifted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13.10(29)</w:t>
      </w:r>
      <w:r>
        <w:rPr>
          <w:rFonts w:ascii="Times New Roman" w:hAnsi="Times New Roman"/>
          <w:b w:val="false"/>
          <w:i w:val="false"/>
          <w:color w:val="000000"/>
          <w:sz w:val="22"/>
        </w:rPr>
        <w:t> </w:t>
      </w:r>
      <w:r>
        <w:rPr>
          <w:rFonts w:ascii="Times New Roman" w:hAnsi="Times New Roman"/>
          <w:b w:val="false"/>
          <w:i/>
          <w:color w:val="000000"/>
          <w:sz w:val="22"/>
        </w:rPr>
        <w:t xml:space="preserve">World language. </w:t>
      </w:r>
      <w:r>
        <w:rPr>
          <w:rFonts w:ascii="Times New Roman" w:hAnsi="Times New Roman"/>
          <w:b w:val="false"/>
          <w:i w:val="false"/>
          <w:color w:val="000000"/>
          <w:sz w:val="22"/>
        </w:rPr>
        <w:t>K-8 and 5-12. Completion of 24 semester hours in each world language for which endorsement is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7869B</w:t>
      </w:r>
      <w:r>
        <w:rPr>
          <w:rFonts w:ascii="Times New Roman" w:hAnsi="Times New Roman"/>
          <w:b w:val="false"/>
          <w:i w:val="false"/>
          <w:color w:val="000000"/>
          <w:sz w:val="21"/>
        </w:rPr>
        <w:t xml:space="preserve"> (Notice ARC 7600B, IAB 2/25/09)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7987B</w:t>
      </w:r>
      <w:r>
        <w:rPr>
          <w:rFonts w:ascii="Times New Roman" w:hAnsi="Times New Roman"/>
          <w:b w:val="false"/>
          <w:i w:val="false"/>
          <w:color w:val="000000"/>
          <w:sz w:val="21"/>
        </w:rPr>
        <w:t xml:space="preserve"> (Notice ARC 7751B, IAB 5/6/09)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7986B</w:t>
      </w:r>
      <w:r>
        <w:rPr>
          <w:rFonts w:ascii="Times New Roman" w:hAnsi="Times New Roman"/>
          <w:b w:val="false"/>
          <w:i w:val="false"/>
          <w:color w:val="000000"/>
          <w:sz w:val="21"/>
        </w:rPr>
        <w:t xml:space="preserve"> (Notice ARC 7744B,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8133B</w:t>
      </w:r>
      <w:r>
        <w:rPr>
          <w:rFonts w:ascii="Times New Roman" w:hAnsi="Times New Roman"/>
          <w:b w:val="false"/>
          <w:i w:val="false"/>
          <w:color w:val="000000"/>
          <w:sz w:val="21"/>
        </w:rPr>
        <w:t xml:space="preserve"> (Notice ARC 7778B, IAB 5/20/09)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8134B</w:t>
      </w:r>
      <w:r>
        <w:rPr>
          <w:rFonts w:ascii="Times New Roman" w:hAnsi="Times New Roman"/>
          <w:b w:val="false"/>
          <w:i w:val="false"/>
          <w:color w:val="000000"/>
          <w:sz w:val="21"/>
        </w:rPr>
        <w:t xml:space="preserve"> (Notice ARC 7860B, IAB 6/17/09)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8138B</w:t>
      </w:r>
      <w:r>
        <w:rPr>
          <w:rFonts w:ascii="Times New Roman" w:hAnsi="Times New Roman"/>
          <w:b w:val="false"/>
          <w:i w:val="false"/>
          <w:color w:val="000000"/>
          <w:sz w:val="21"/>
        </w:rPr>
        <w:t xml:space="preserve"> (Notice ARC 7871B, IAB 6/17/09)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8139B</w:t>
      </w:r>
      <w:r>
        <w:rPr>
          <w:rFonts w:ascii="Times New Roman" w:hAnsi="Times New Roman"/>
          <w:b w:val="false"/>
          <w:i w:val="false"/>
          <w:color w:val="000000"/>
          <w:sz w:val="21"/>
        </w:rPr>
        <w:t xml:space="preserve"> (Notice ARC 7872B,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Emergency ARC 8248B, IAB 11/4/09, effective 10/12/09]</w:t>
      </w:r>
    </w:p>
    <w:p>
      <w:pPr>
        <w:spacing w:before="0" w:after="0"/>
        <w:ind w:left="120"/>
        <w:jc w:val="center"/>
      </w:pPr>
      <w:r>
        <w:rPr>
          <w:rFonts w:ascii="Times New Roman" w:hAnsi="Times New Roman"/>
          <w:b w:val="false"/>
          <w:i w:val="false"/>
          <w:color w:val="000000"/>
          <w:sz w:val="21"/>
        </w:rPr>
        <w:t>[Filed ARC 8400B</w:t>
      </w:r>
      <w:r>
        <w:rPr>
          <w:rFonts w:ascii="Times New Roman" w:hAnsi="Times New Roman"/>
          <w:b w:val="false"/>
          <w:i w:val="false"/>
          <w:color w:val="000000"/>
          <w:sz w:val="21"/>
        </w:rPr>
        <w:t xml:space="preserve"> (Notice ARC 8125B, IAB 9/9/09)</w:t>
      </w:r>
      <w:r>
        <w:rPr>
          <w:rFonts w:ascii="Times New Roman" w:hAnsi="Times New Roman"/>
          <w:b w:val="false"/>
          <w:i w:val="false"/>
          <w:color w:val="000000"/>
          <w:sz w:val="21"/>
        </w:rPr>
        <w:t>, IAB 12/16/09, effective 1/20/10]</w:t>
      </w:r>
      <w:r>
        <w:br/>
      </w:r>
      <w:r>
        <w:rPr>
          <w:rFonts w:ascii="Times New Roman" w:hAnsi="Times New Roman"/>
          <w:b w:val="false"/>
          <w:i w:val="false"/>
          <w:color w:val="000000"/>
          <w:sz w:val="21"/>
        </w:rPr>
        <w:t>[Filed ARC 8401B</w:t>
      </w:r>
      <w:r>
        <w:rPr>
          <w:rFonts w:ascii="Times New Roman" w:hAnsi="Times New Roman"/>
          <w:b w:val="false"/>
          <w:i w:val="false"/>
          <w:color w:val="000000"/>
          <w:sz w:val="21"/>
        </w:rPr>
        <w:t xml:space="preserve"> (Notice ARC 8121B, IAB 9/9/09)</w:t>
      </w:r>
      <w:r>
        <w:rPr>
          <w:rFonts w:ascii="Times New Roman" w:hAnsi="Times New Roman"/>
          <w:b w:val="false"/>
          <w:i w:val="false"/>
          <w:color w:val="000000"/>
          <w:sz w:val="21"/>
        </w:rPr>
        <w:t>, IAB 12/16/09, effective 1/20/10]</w:t>
      </w:r>
      <w:r>
        <w:br/>
      </w:r>
      <w:r>
        <w:rPr>
          <w:rFonts w:ascii="Times New Roman" w:hAnsi="Times New Roman"/>
          <w:b w:val="false"/>
          <w:i w:val="false"/>
          <w:color w:val="000000"/>
          <w:sz w:val="21"/>
        </w:rPr>
        <w:t>[Filed ARC 8402B</w:t>
      </w:r>
      <w:r>
        <w:rPr>
          <w:rFonts w:ascii="Times New Roman" w:hAnsi="Times New Roman"/>
          <w:b w:val="false"/>
          <w:i w:val="false"/>
          <w:color w:val="000000"/>
          <w:sz w:val="21"/>
        </w:rPr>
        <w:t xml:space="preserve"> (Notice ARC 8126B, IAB 9/9/09)</w:t>
      </w:r>
      <w:r>
        <w:rPr>
          <w:rFonts w:ascii="Times New Roman" w:hAnsi="Times New Roman"/>
          <w:b w:val="false"/>
          <w:i w:val="false"/>
          <w:color w:val="000000"/>
          <w:sz w:val="21"/>
        </w:rPr>
        <w:t>, IAB 12/16/09, effective 1/20/10]</w:t>
      </w:r>
      <w:r>
        <w:br/>
      </w:r>
      <w:r>
        <w:rPr>
          <w:rFonts w:ascii="Times New Roman" w:hAnsi="Times New Roman"/>
          <w:b w:val="false"/>
          <w:i w:val="false"/>
          <w:color w:val="000000"/>
          <w:sz w:val="21"/>
        </w:rPr>
        <w:t>[Filed ARC 8403B</w:t>
      </w:r>
      <w:r>
        <w:rPr>
          <w:rFonts w:ascii="Times New Roman" w:hAnsi="Times New Roman"/>
          <w:b w:val="false"/>
          <w:i w:val="false"/>
          <w:color w:val="000000"/>
          <w:sz w:val="21"/>
        </w:rPr>
        <w:t xml:space="preserve"> (Notice ARC 8129B,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8604B</w:t>
      </w:r>
      <w:r>
        <w:rPr>
          <w:rFonts w:ascii="Times New Roman" w:hAnsi="Times New Roman"/>
          <w:b w:val="false"/>
          <w:i w:val="false"/>
          <w:color w:val="000000"/>
          <w:sz w:val="21"/>
        </w:rPr>
        <w:t xml:space="preserve"> (Notice ARC 8250B, IAB 11/4/09)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8610B</w:t>
      </w:r>
      <w:r>
        <w:rPr>
          <w:rFonts w:ascii="Times New Roman" w:hAnsi="Times New Roman"/>
          <w:b w:val="false"/>
          <w:i w:val="false"/>
          <w:color w:val="000000"/>
          <w:sz w:val="21"/>
        </w:rPr>
        <w:t xml:space="preserve"> (Notice ARC 8249B, IAB 11/4/09)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8607B</w:t>
      </w:r>
      <w:r>
        <w:rPr>
          <w:rFonts w:ascii="Times New Roman" w:hAnsi="Times New Roman"/>
          <w:b w:val="false"/>
          <w:i w:val="false"/>
          <w:color w:val="000000"/>
          <w:sz w:val="21"/>
        </w:rPr>
        <w:t xml:space="preserve"> (Notice ARC 8408B,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8688B</w:t>
      </w:r>
      <w:r>
        <w:rPr>
          <w:rFonts w:ascii="Times New Roman" w:hAnsi="Times New Roman"/>
          <w:b w:val="false"/>
          <w:i w:val="false"/>
          <w:color w:val="000000"/>
          <w:sz w:val="21"/>
        </w:rPr>
        <w:t xml:space="preserve"> (Notice ARC 8436B,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8957B</w:t>
      </w:r>
      <w:r>
        <w:rPr>
          <w:rFonts w:ascii="Times New Roman" w:hAnsi="Times New Roman"/>
          <w:b w:val="false"/>
          <w:i w:val="false"/>
          <w:color w:val="000000"/>
          <w:sz w:val="21"/>
        </w:rPr>
        <w:t xml:space="preserve"> (Notice ARC 8686B, IAB 4/7/10)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9072B</w:t>
      </w:r>
      <w:r>
        <w:rPr>
          <w:rFonts w:ascii="Times New Roman" w:hAnsi="Times New Roman"/>
          <w:b w:val="false"/>
          <w:i w:val="false"/>
          <w:color w:val="000000"/>
          <w:sz w:val="21"/>
        </w:rPr>
        <w:t xml:space="preserve"> (Notice ARC 8822B, IAB 6/2/10)</w:t>
      </w:r>
      <w:r>
        <w:rPr>
          <w:rFonts w:ascii="Times New Roman" w:hAnsi="Times New Roman"/>
          <w:b w:val="false"/>
          <w:i w:val="false"/>
          <w:color w:val="000000"/>
          <w:sz w:val="21"/>
        </w:rPr>
        <w:t>, IAB 9/8/10, effective 10/13/10]</w:t>
      </w:r>
      <w:r>
        <w:br/>
      </w:r>
      <w:r>
        <w:rPr>
          <w:rFonts w:ascii="Times New Roman" w:hAnsi="Times New Roman"/>
          <w:b w:val="false"/>
          <w:i w:val="false"/>
          <w:color w:val="000000"/>
          <w:sz w:val="21"/>
        </w:rPr>
        <w:t>[Filed ARC 9070B</w:t>
      </w:r>
      <w:r>
        <w:rPr>
          <w:rFonts w:ascii="Times New Roman" w:hAnsi="Times New Roman"/>
          <w:b w:val="false"/>
          <w:i w:val="false"/>
          <w:color w:val="000000"/>
          <w:sz w:val="21"/>
        </w:rPr>
        <w:t xml:space="preserve"> (Notice ARC 8824B, IAB 6/2/10)</w:t>
      </w:r>
      <w:r>
        <w:rPr>
          <w:rFonts w:ascii="Times New Roman" w:hAnsi="Times New Roman"/>
          <w:b w:val="false"/>
          <w:i w:val="false"/>
          <w:color w:val="000000"/>
          <w:sz w:val="21"/>
        </w:rPr>
        <w:t>, IAB 9/8/10, effective 10/13/10]</w:t>
      </w:r>
      <w:r>
        <w:br/>
      </w:r>
      <w:r>
        <w:rPr>
          <w:rFonts w:ascii="Times New Roman" w:hAnsi="Times New Roman"/>
          <w:b w:val="false"/>
          <w:i w:val="false"/>
          <w:color w:val="000000"/>
          <w:sz w:val="21"/>
        </w:rPr>
        <w:t>[Filed ARC 9071B</w:t>
      </w:r>
      <w:r>
        <w:rPr>
          <w:rFonts w:ascii="Times New Roman" w:hAnsi="Times New Roman"/>
          <w:b w:val="false"/>
          <w:i w:val="false"/>
          <w:color w:val="000000"/>
          <w:sz w:val="21"/>
        </w:rPr>
        <w:t xml:space="preserve"> (Notice ARC 8825B, IAB 6/2/10)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9207B</w:t>
      </w:r>
      <w:r>
        <w:rPr>
          <w:rFonts w:ascii="Times New Roman" w:hAnsi="Times New Roman"/>
          <w:b w:val="false"/>
          <w:i w:val="false"/>
          <w:color w:val="000000"/>
          <w:sz w:val="21"/>
        </w:rPr>
        <w:t xml:space="preserve"> (Notice ARC 8969B, IAB 7/28/10)</w:t>
      </w:r>
      <w:r>
        <w:rPr>
          <w:rFonts w:ascii="Times New Roman" w:hAnsi="Times New Roman"/>
          <w:b w:val="false"/>
          <w:i w:val="false"/>
          <w:color w:val="000000"/>
          <w:sz w:val="21"/>
        </w:rPr>
        <w:t>, IAB 11/3/10, effective 12/8/10]</w:t>
      </w:r>
      <w:r>
        <w:br/>
      </w:r>
      <w:r>
        <w:rPr>
          <w:rFonts w:ascii="Times New Roman" w:hAnsi="Times New Roman"/>
          <w:b w:val="false"/>
          <w:i w:val="false"/>
          <w:color w:val="000000"/>
          <w:sz w:val="21"/>
        </w:rPr>
        <w:t>[Filed ARC 9205B</w:t>
      </w:r>
      <w:r>
        <w:rPr>
          <w:rFonts w:ascii="Times New Roman" w:hAnsi="Times New Roman"/>
          <w:b w:val="false"/>
          <w:i w:val="false"/>
          <w:color w:val="000000"/>
          <w:sz w:val="21"/>
        </w:rPr>
        <w:t xml:space="preserve"> (Notice ARC 8961B, IAB 7/28/10)</w:t>
      </w:r>
      <w:r>
        <w:rPr>
          <w:rFonts w:ascii="Times New Roman" w:hAnsi="Times New Roman"/>
          <w:b w:val="false"/>
          <w:i w:val="false"/>
          <w:color w:val="000000"/>
          <w:sz w:val="21"/>
        </w:rPr>
        <w:t>, IAB 11/3/10, effective 12/8/10]</w:t>
      </w:r>
      <w:r>
        <w:br/>
      </w:r>
      <w:r>
        <w:rPr>
          <w:rFonts w:ascii="Times New Roman" w:hAnsi="Times New Roman"/>
          <w:b w:val="false"/>
          <w:i w:val="false"/>
          <w:color w:val="000000"/>
          <w:sz w:val="21"/>
        </w:rPr>
        <w:t>[Filed ARC 9206B</w:t>
      </w:r>
      <w:r>
        <w:rPr>
          <w:rFonts w:ascii="Times New Roman" w:hAnsi="Times New Roman"/>
          <w:b w:val="false"/>
          <w:i w:val="false"/>
          <w:color w:val="000000"/>
          <w:sz w:val="21"/>
        </w:rPr>
        <w:t xml:space="preserve"> (Notice ARC 8968B, IAB 7/28/10)</w:t>
      </w:r>
      <w:r>
        <w:rPr>
          <w:rFonts w:ascii="Times New Roman" w:hAnsi="Times New Roman"/>
          <w:b w:val="false"/>
          <w:i w:val="false"/>
          <w:color w:val="000000"/>
          <w:sz w:val="21"/>
        </w:rPr>
        <w:t>, IAB 11/3/10, effective 12/8/10]</w:t>
      </w:r>
      <w:r>
        <w:br/>
      </w:r>
      <w:r>
        <w:rPr>
          <w:rFonts w:ascii="Times New Roman" w:hAnsi="Times New Roman"/>
          <w:b w:val="false"/>
          <w:i w:val="false"/>
          <w:color w:val="000000"/>
          <w:sz w:val="21"/>
        </w:rPr>
        <w:t>[Filed ARC 9210B</w:t>
      </w:r>
      <w:r>
        <w:rPr>
          <w:rFonts w:ascii="Times New Roman" w:hAnsi="Times New Roman"/>
          <w:b w:val="false"/>
          <w:i w:val="false"/>
          <w:color w:val="000000"/>
          <w:sz w:val="21"/>
        </w:rPr>
        <w:t xml:space="preserve"> (Notice ARC 8965B, IAB 7/28/10)</w:t>
      </w:r>
      <w:r>
        <w:rPr>
          <w:rFonts w:ascii="Times New Roman" w:hAnsi="Times New Roman"/>
          <w:b w:val="false"/>
          <w:i w:val="false"/>
          <w:color w:val="000000"/>
          <w:sz w:val="21"/>
        </w:rPr>
        <w:t>, IAB 11/3/10, effective 12/8/10]</w:t>
      </w:r>
      <w:r>
        <w:br/>
      </w:r>
      <w:r>
        <w:rPr>
          <w:rFonts w:ascii="Times New Roman" w:hAnsi="Times New Roman"/>
          <w:b w:val="false"/>
          <w:i w:val="false"/>
          <w:color w:val="000000"/>
          <w:sz w:val="21"/>
        </w:rPr>
        <w:t>[Filed ARC 9211B</w:t>
      </w:r>
      <w:r>
        <w:rPr>
          <w:rFonts w:ascii="Times New Roman" w:hAnsi="Times New Roman"/>
          <w:b w:val="false"/>
          <w:i w:val="false"/>
          <w:color w:val="000000"/>
          <w:sz w:val="21"/>
        </w:rPr>
        <w:t xml:space="preserve"> (Notice ARC 8966B, IAB 7/28/10)</w:t>
      </w:r>
      <w:r>
        <w:rPr>
          <w:rFonts w:ascii="Times New Roman" w:hAnsi="Times New Roman"/>
          <w:b w:val="false"/>
          <w:i w:val="false"/>
          <w:color w:val="000000"/>
          <w:sz w:val="21"/>
        </w:rPr>
        <w:t>, IAB 11/3/10, effective 12/8/10]</w:t>
      </w:r>
      <w:r>
        <w:br/>
      </w:r>
      <w:r>
        <w:rPr>
          <w:rFonts w:ascii="Times New Roman" w:hAnsi="Times New Roman"/>
          <w:b w:val="false"/>
          <w:i w:val="false"/>
          <w:color w:val="000000"/>
          <w:sz w:val="21"/>
        </w:rPr>
        <w:t>[Filed ARC 9212B</w:t>
      </w:r>
      <w:r>
        <w:rPr>
          <w:rFonts w:ascii="Times New Roman" w:hAnsi="Times New Roman"/>
          <w:b w:val="false"/>
          <w:i w:val="false"/>
          <w:color w:val="000000"/>
          <w:sz w:val="21"/>
        </w:rPr>
        <w:t xml:space="preserve"> (Notice ARC 8967B, IAB 7/28/10)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9573B</w:t>
      </w:r>
      <w:r>
        <w:rPr>
          <w:rFonts w:ascii="Times New Roman" w:hAnsi="Times New Roman"/>
          <w:b w:val="false"/>
          <w:i w:val="false"/>
          <w:color w:val="000000"/>
          <w:sz w:val="21"/>
        </w:rPr>
        <w:t xml:space="preserve"> (Notice ARC 9382B, IAB 2/23/11)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9838B</w:t>
      </w:r>
      <w:r>
        <w:rPr>
          <w:rFonts w:ascii="Times New Roman" w:hAnsi="Times New Roman"/>
          <w:b w:val="false"/>
          <w:i w:val="false"/>
          <w:color w:val="000000"/>
          <w:sz w:val="21"/>
        </w:rPr>
        <w:t xml:space="preserve"> (Notice ARC 9663B, IAB 8/10/11)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9839B</w:t>
      </w:r>
      <w:r>
        <w:rPr>
          <w:rFonts w:ascii="Times New Roman" w:hAnsi="Times New Roman"/>
          <w:b w:val="false"/>
          <w:i w:val="false"/>
          <w:color w:val="000000"/>
          <w:sz w:val="21"/>
        </w:rPr>
        <w:t xml:space="preserve"> (Notice ARC 9662B, IAB 8/10/11)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9840B</w:t>
      </w:r>
      <w:r>
        <w:rPr>
          <w:rFonts w:ascii="Times New Roman" w:hAnsi="Times New Roman"/>
          <w:b w:val="false"/>
          <w:i w:val="false"/>
          <w:color w:val="000000"/>
          <w:sz w:val="21"/>
        </w:rPr>
        <w:t xml:space="preserve"> (Notice ARC 9661B, IAB 8/10/11)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9925B</w:t>
      </w:r>
      <w:r>
        <w:rPr>
          <w:rFonts w:ascii="Times New Roman" w:hAnsi="Times New Roman"/>
          <w:b w:val="false"/>
          <w:i w:val="false"/>
          <w:color w:val="000000"/>
          <w:sz w:val="21"/>
        </w:rPr>
        <w:t xml:space="preserve"> (Notice ARC 9744B,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0446C</w:t>
      </w:r>
      <w:r>
        <w:rPr>
          <w:rFonts w:ascii="Times New Roman" w:hAnsi="Times New Roman"/>
          <w:b w:val="false"/>
          <w:i w:val="false"/>
          <w:color w:val="000000"/>
          <w:sz w:val="21"/>
        </w:rPr>
        <w:t xml:space="preserve"> (Notice ARC 0236C, IAB 7/25/12)</w:t>
      </w:r>
      <w:r>
        <w:rPr>
          <w:rFonts w:ascii="Times New Roman" w:hAnsi="Times New Roman"/>
          <w:b w:val="false"/>
          <w:i w:val="false"/>
          <w:color w:val="000000"/>
          <w:sz w:val="21"/>
        </w:rPr>
        <w:t>, IAB 11/14/12, effective 12/19/12]</w:t>
      </w:r>
      <w:r>
        <w:br/>
      </w:r>
      <w:r>
        <w:rPr>
          <w:rFonts w:ascii="Times New Roman" w:hAnsi="Times New Roman"/>
          <w:b w:val="false"/>
          <w:i w:val="false"/>
          <w:color w:val="000000"/>
          <w:sz w:val="21"/>
        </w:rPr>
        <w:t>[Filed ARC 0448C</w:t>
      </w:r>
      <w:r>
        <w:rPr>
          <w:rFonts w:ascii="Times New Roman" w:hAnsi="Times New Roman"/>
          <w:b w:val="false"/>
          <w:i w:val="false"/>
          <w:color w:val="000000"/>
          <w:sz w:val="21"/>
        </w:rPr>
        <w:t xml:space="preserve"> (Notice ARC 0235C, IAB 7/25/12)</w:t>
      </w:r>
      <w:r>
        <w:rPr>
          <w:rFonts w:ascii="Times New Roman" w:hAnsi="Times New Roman"/>
          <w:b w:val="false"/>
          <w:i w:val="false"/>
          <w:color w:val="000000"/>
          <w:sz w:val="21"/>
        </w:rPr>
        <w:t>, IAB 11/14/12, effective 12/19/12]</w:t>
      </w:r>
      <w:r>
        <w:br/>
      </w:r>
      <w:r>
        <w:rPr>
          <w:rFonts w:ascii="Times New Roman" w:hAnsi="Times New Roman"/>
          <w:b w:val="false"/>
          <w:i w:val="false"/>
          <w:color w:val="000000"/>
          <w:sz w:val="21"/>
        </w:rPr>
        <w:t>[Filed ARC 0449C</w:t>
      </w:r>
      <w:r>
        <w:rPr>
          <w:rFonts w:ascii="Times New Roman" w:hAnsi="Times New Roman"/>
          <w:b w:val="false"/>
          <w:i w:val="false"/>
          <w:color w:val="000000"/>
          <w:sz w:val="21"/>
        </w:rPr>
        <w:t xml:space="preserve"> (Notice ARC 0312C, IAB 9/5/12)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Emergency After Notice ARC 0563C, IAB 1/23/13, effective 1/1/13]</w:t>
      </w:r>
    </w:p>
    <w:p>
      <w:pPr>
        <w:spacing w:before="0" w:after="0"/>
        <w:ind w:left="120"/>
        <w:jc w:val="center"/>
      </w:pPr>
      <w:r>
        <w:rPr>
          <w:rFonts w:ascii="Times New Roman" w:hAnsi="Times New Roman"/>
          <w:b w:val="false"/>
          <w:i w:val="false"/>
          <w:color w:val="000000"/>
          <w:sz w:val="21"/>
        </w:rPr>
        <w:t>[Filed ARC 0605C</w:t>
      </w:r>
      <w:r>
        <w:rPr>
          <w:rFonts w:ascii="Times New Roman" w:hAnsi="Times New Roman"/>
          <w:b w:val="false"/>
          <w:i w:val="false"/>
          <w:color w:val="000000"/>
          <w:sz w:val="21"/>
        </w:rPr>
        <w:t xml:space="preserve"> (Notice ARC 0509C,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0698C</w:t>
      </w:r>
      <w:r>
        <w:rPr>
          <w:rFonts w:ascii="Times New Roman" w:hAnsi="Times New Roman"/>
          <w:b w:val="false"/>
          <w:i w:val="false"/>
          <w:color w:val="000000"/>
          <w:sz w:val="21"/>
        </w:rPr>
        <w:t xml:space="preserve"> (Notice ARC 0614C, IAB 2/20/13)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0865C</w:t>
      </w:r>
      <w:r>
        <w:rPr>
          <w:rFonts w:ascii="Times New Roman" w:hAnsi="Times New Roman"/>
          <w:b w:val="false"/>
          <w:i w:val="false"/>
          <w:color w:val="000000"/>
          <w:sz w:val="21"/>
        </w:rPr>
        <w:t xml:space="preserve"> (Notice ARC 0676C, IAB 4/3/13)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0866C</w:t>
      </w:r>
      <w:r>
        <w:rPr>
          <w:rFonts w:ascii="Times New Roman" w:hAnsi="Times New Roman"/>
          <w:b w:val="false"/>
          <w:i w:val="false"/>
          <w:color w:val="000000"/>
          <w:sz w:val="21"/>
        </w:rPr>
        <w:t xml:space="preserve"> (Notice ARC 0696C, IAB 5/1/13)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0867C</w:t>
      </w:r>
      <w:r>
        <w:rPr>
          <w:rFonts w:ascii="Times New Roman" w:hAnsi="Times New Roman"/>
          <w:b w:val="false"/>
          <w:i w:val="false"/>
          <w:color w:val="000000"/>
          <w:sz w:val="21"/>
        </w:rPr>
        <w:t xml:space="preserve"> (Notice ARC 0706C, IAB 5/1/13)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0868C</w:t>
      </w:r>
      <w:r>
        <w:rPr>
          <w:rFonts w:ascii="Times New Roman" w:hAnsi="Times New Roman"/>
          <w:b w:val="false"/>
          <w:i w:val="false"/>
          <w:color w:val="000000"/>
          <w:sz w:val="21"/>
        </w:rPr>
        <w:t xml:space="preserve"> (Notice ARC 0705C, IAB 5/1/13)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0875C</w:t>
      </w:r>
      <w:r>
        <w:rPr>
          <w:rFonts w:ascii="Times New Roman" w:hAnsi="Times New Roman"/>
          <w:b w:val="false"/>
          <w:i w:val="false"/>
          <w:color w:val="000000"/>
          <w:sz w:val="21"/>
        </w:rPr>
        <w:t xml:space="preserve"> (Notice ARC 0700C,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0986C</w:t>
      </w:r>
      <w:r>
        <w:rPr>
          <w:rFonts w:ascii="Times New Roman" w:hAnsi="Times New Roman"/>
          <w:b w:val="false"/>
          <w:i w:val="false"/>
          <w:color w:val="000000"/>
          <w:sz w:val="21"/>
        </w:rPr>
        <w:t xml:space="preserve"> (Notice ARC 0762C, IAB 5/29/13)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1085C</w:t>
      </w:r>
      <w:r>
        <w:rPr>
          <w:rFonts w:ascii="Times New Roman" w:hAnsi="Times New Roman"/>
          <w:b w:val="false"/>
          <w:i w:val="false"/>
          <w:color w:val="000000"/>
          <w:sz w:val="21"/>
        </w:rPr>
        <w:t xml:space="preserve"> (Notice ARC 0879C,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1166C</w:t>
      </w:r>
      <w:r>
        <w:rPr>
          <w:rFonts w:ascii="Times New Roman" w:hAnsi="Times New Roman"/>
          <w:b w:val="false"/>
          <w:i w:val="false"/>
          <w:color w:val="000000"/>
          <w:sz w:val="21"/>
        </w:rPr>
        <w:t xml:space="preserve"> (Notice ARC 0880C, IAB 7/24/13)</w:t>
      </w:r>
      <w:r>
        <w:rPr>
          <w:rFonts w:ascii="Times New Roman" w:hAnsi="Times New Roman"/>
          <w:b w:val="false"/>
          <w:i w:val="false"/>
          <w:color w:val="000000"/>
          <w:sz w:val="21"/>
        </w:rPr>
        <w:t>, IAB 11/13/13, effective 12/18/13]</w:t>
      </w:r>
      <w:r>
        <w:br/>
      </w:r>
      <w:r>
        <w:rPr>
          <w:rFonts w:ascii="Times New Roman" w:hAnsi="Times New Roman"/>
          <w:b w:val="false"/>
          <w:i w:val="false"/>
          <w:color w:val="000000"/>
          <w:sz w:val="21"/>
        </w:rPr>
        <w:t>[Filed ARC 1168C</w:t>
      </w:r>
      <w:r>
        <w:rPr>
          <w:rFonts w:ascii="Times New Roman" w:hAnsi="Times New Roman"/>
          <w:b w:val="false"/>
          <w:i w:val="false"/>
          <w:color w:val="000000"/>
          <w:sz w:val="21"/>
        </w:rPr>
        <w:t xml:space="preserve"> (Notice ARC 0987C, IAB 9/4/13)</w:t>
      </w:r>
      <w:r>
        <w:rPr>
          <w:rFonts w:ascii="Times New Roman" w:hAnsi="Times New Roman"/>
          <w:b w:val="false"/>
          <w:i w:val="false"/>
          <w:color w:val="000000"/>
          <w:sz w:val="21"/>
        </w:rPr>
        <w:t>, IAB 11/13/13, effective 12/18/13]</w:t>
      </w:r>
      <w:r>
        <w:br/>
      </w:r>
      <w:r>
        <w:rPr>
          <w:rFonts w:ascii="Times New Roman" w:hAnsi="Times New Roman"/>
          <w:b w:val="false"/>
          <w:i w:val="false"/>
          <w:color w:val="000000"/>
          <w:sz w:val="21"/>
        </w:rPr>
        <w:t>[Filed ARC 1171C</w:t>
      </w:r>
      <w:r>
        <w:rPr>
          <w:rFonts w:ascii="Times New Roman" w:hAnsi="Times New Roman"/>
          <w:b w:val="false"/>
          <w:i w:val="false"/>
          <w:color w:val="000000"/>
          <w:sz w:val="21"/>
        </w:rPr>
        <w:t xml:space="preserve"> (Notice ARC 0993C, IAB 9/4/13)</w:t>
      </w:r>
      <w:r>
        <w:rPr>
          <w:rFonts w:ascii="Times New Roman" w:hAnsi="Times New Roman"/>
          <w:b w:val="false"/>
          <w:i w:val="false"/>
          <w:color w:val="000000"/>
          <w:sz w:val="21"/>
        </w:rPr>
        <w:t>, IAB 11/13/13, effective 12/18/13]</w:t>
      </w:r>
    </w:p>
    <w:p>
      <w:pPr>
        <w:spacing w:before="0" w:after="0"/>
        <w:ind w:left="120"/>
        <w:jc w:val="center"/>
      </w:pPr>
      <w:r>
        <w:rPr>
          <w:rFonts w:ascii="Times New Roman" w:hAnsi="Times New Roman"/>
          <w:b w:val="false"/>
          <w:i w:val="false"/>
          <w:color w:val="000000"/>
          <w:sz w:val="21"/>
        </w:rPr>
        <w:t>[Filed ARC 1324C</w:t>
      </w:r>
      <w:r>
        <w:rPr>
          <w:rFonts w:ascii="Times New Roman" w:hAnsi="Times New Roman"/>
          <w:b w:val="false"/>
          <w:i w:val="false"/>
          <w:color w:val="000000"/>
          <w:sz w:val="21"/>
        </w:rPr>
        <w:t xml:space="preserve"> (Notice ARC 1182C, IAB 11/13/13)</w:t>
      </w:r>
      <w:r>
        <w:rPr>
          <w:rFonts w:ascii="Times New Roman" w:hAnsi="Times New Roman"/>
          <w:b w:val="false"/>
          <w:i w:val="false"/>
          <w:color w:val="000000"/>
          <w:sz w:val="21"/>
        </w:rPr>
        <w:t>, IAB 2/19/14, effective 3/26/14]</w:t>
      </w:r>
      <w:r>
        <w:br/>
      </w:r>
      <w:r>
        <w:rPr>
          <w:rFonts w:ascii="Times New Roman" w:hAnsi="Times New Roman"/>
          <w:b w:val="false"/>
          <w:i w:val="false"/>
          <w:color w:val="000000"/>
          <w:sz w:val="21"/>
        </w:rPr>
        <w:t>[Filed ARC 1323C</w:t>
      </w:r>
      <w:r>
        <w:rPr>
          <w:rFonts w:ascii="Times New Roman" w:hAnsi="Times New Roman"/>
          <w:b w:val="false"/>
          <w:i w:val="false"/>
          <w:color w:val="000000"/>
          <w:sz w:val="21"/>
        </w:rPr>
        <w:t xml:space="preserve"> (Notice ARC 1181C, IAB 11/13/13)</w:t>
      </w:r>
      <w:r>
        <w:rPr>
          <w:rFonts w:ascii="Times New Roman" w:hAnsi="Times New Roman"/>
          <w:b w:val="false"/>
          <w:i w:val="false"/>
          <w:color w:val="000000"/>
          <w:sz w:val="21"/>
        </w:rPr>
        <w:t>, IAB 2/19/14, effective 3/26/14]</w:t>
      </w:r>
      <w:r>
        <w:br/>
      </w:r>
      <w:r>
        <w:rPr>
          <w:rFonts w:ascii="Times New Roman" w:hAnsi="Times New Roman"/>
          <w:b w:val="false"/>
          <w:i w:val="false"/>
          <w:color w:val="000000"/>
          <w:sz w:val="21"/>
        </w:rPr>
        <w:t>[Filed ARC 1328C</w:t>
      </w:r>
      <w:r>
        <w:rPr>
          <w:rFonts w:ascii="Times New Roman" w:hAnsi="Times New Roman"/>
          <w:b w:val="false"/>
          <w:i w:val="false"/>
          <w:color w:val="000000"/>
          <w:sz w:val="21"/>
        </w:rPr>
        <w:t xml:space="preserve"> (Notice ARC 1236C, IAB 12/11/13)</w:t>
      </w:r>
      <w:r>
        <w:rPr>
          <w:rFonts w:ascii="Times New Roman" w:hAnsi="Times New Roman"/>
          <w:b w:val="false"/>
          <w:i w:val="false"/>
          <w:color w:val="000000"/>
          <w:sz w:val="21"/>
        </w:rPr>
        <w:t>, IAB 2/19/14, effective 3/26/14]</w:t>
      </w:r>
      <w:r>
        <w:br/>
      </w:r>
      <w:r>
        <w:rPr>
          <w:rFonts w:ascii="Times New Roman" w:hAnsi="Times New Roman"/>
          <w:b w:val="false"/>
          <w:i w:val="false"/>
          <w:color w:val="000000"/>
          <w:sz w:val="21"/>
        </w:rPr>
        <w:t>[Filed ARC 1327C</w:t>
      </w:r>
      <w:r>
        <w:rPr>
          <w:rFonts w:ascii="Times New Roman" w:hAnsi="Times New Roman"/>
          <w:b w:val="false"/>
          <w:i w:val="false"/>
          <w:color w:val="000000"/>
          <w:sz w:val="21"/>
        </w:rPr>
        <w:t xml:space="preserve"> (Notice ARC 1235C, IAB 12/11/13)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1374C</w:t>
      </w:r>
      <w:r>
        <w:rPr>
          <w:rFonts w:ascii="Times New Roman" w:hAnsi="Times New Roman"/>
          <w:b w:val="false"/>
          <w:i w:val="false"/>
          <w:color w:val="000000"/>
          <w:sz w:val="21"/>
        </w:rPr>
        <w:t xml:space="preserve"> (Notice ARC 1272C, IAB 1/8/14)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1454C</w:t>
      </w:r>
      <w:r>
        <w:rPr>
          <w:rFonts w:ascii="Times New Roman" w:hAnsi="Times New Roman"/>
          <w:b w:val="false"/>
          <w:i w:val="false"/>
          <w:color w:val="000000"/>
          <w:sz w:val="21"/>
        </w:rPr>
        <w:t xml:space="preserve"> (Notice ARC 1343C, IAB 2/19/14)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1878C</w:t>
      </w:r>
      <w:r>
        <w:rPr>
          <w:rFonts w:ascii="Times New Roman" w:hAnsi="Times New Roman"/>
          <w:b w:val="false"/>
          <w:i w:val="false"/>
          <w:color w:val="000000"/>
          <w:sz w:val="21"/>
        </w:rPr>
        <w:t xml:space="preserve"> (Notice ARC 1723C, IAB 11/12/14)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2015C</w:t>
      </w:r>
      <w:r>
        <w:rPr>
          <w:rFonts w:ascii="Times New Roman" w:hAnsi="Times New Roman"/>
          <w:b w:val="false"/>
          <w:i w:val="false"/>
          <w:color w:val="000000"/>
          <w:sz w:val="21"/>
        </w:rPr>
        <w:t xml:space="preserve"> (Notice ARC 1917C, IAB 3/18/15)</w:t>
      </w:r>
      <w:r>
        <w:rPr>
          <w:rFonts w:ascii="Times New Roman" w:hAnsi="Times New Roman"/>
          <w:b w:val="false"/>
          <w:i w:val="false"/>
          <w:color w:val="000000"/>
          <w:sz w:val="21"/>
        </w:rPr>
        <w:t>, IAB 6/10/15, effective 7/15/15]</w:t>
      </w:r>
      <w:r>
        <w:br/>
      </w:r>
      <w:r>
        <w:rPr>
          <w:rFonts w:ascii="Times New Roman" w:hAnsi="Times New Roman"/>
          <w:b w:val="false"/>
          <w:i w:val="false"/>
          <w:color w:val="000000"/>
          <w:sz w:val="21"/>
        </w:rPr>
        <w:t>[Filed ARC 2016C</w:t>
      </w:r>
      <w:r>
        <w:rPr>
          <w:rFonts w:ascii="Times New Roman" w:hAnsi="Times New Roman"/>
          <w:b w:val="false"/>
          <w:i w:val="false"/>
          <w:color w:val="000000"/>
          <w:sz w:val="21"/>
        </w:rPr>
        <w:t xml:space="preserve"> (Notice ARC 1918C,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2397C</w:t>
      </w:r>
      <w:r>
        <w:rPr>
          <w:rFonts w:ascii="Times New Roman" w:hAnsi="Times New Roman"/>
          <w:b w:val="false"/>
          <w:i w:val="false"/>
          <w:color w:val="000000"/>
          <w:sz w:val="21"/>
        </w:rPr>
        <w:t xml:space="preserve"> (Notice ARC 2237C, IAB 11/11/15)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2527C</w:t>
      </w:r>
      <w:r>
        <w:rPr>
          <w:rFonts w:ascii="Times New Roman" w:hAnsi="Times New Roman"/>
          <w:b w:val="false"/>
          <w:i w:val="false"/>
          <w:color w:val="000000"/>
          <w:sz w:val="21"/>
        </w:rPr>
        <w:t xml:space="preserve"> (Notice ARC 2412C,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2584C</w:t>
      </w:r>
      <w:r>
        <w:rPr>
          <w:rFonts w:ascii="Times New Roman" w:hAnsi="Times New Roman"/>
          <w:b w:val="false"/>
          <w:i w:val="false"/>
          <w:color w:val="000000"/>
          <w:sz w:val="21"/>
        </w:rPr>
        <w:t xml:space="preserve"> (Notice ARC 2453C, IAB 3/16/16)</w:t>
      </w:r>
      <w:r>
        <w:rPr>
          <w:rFonts w:ascii="Times New Roman" w:hAnsi="Times New Roman"/>
          <w:b w:val="false"/>
          <w:i w:val="false"/>
          <w:color w:val="000000"/>
          <w:sz w:val="21"/>
        </w:rPr>
        <w:t>, IAB 6/22/16, effective 7/27/16]</w:t>
      </w:r>
      <w:r>
        <w:br/>
      </w:r>
      <w:r>
        <w:rPr>
          <w:rFonts w:ascii="Times New Roman" w:hAnsi="Times New Roman"/>
          <w:b w:val="false"/>
          <w:i w:val="false"/>
          <w:color w:val="000000"/>
          <w:sz w:val="21"/>
        </w:rPr>
        <w:t>[Filed ARC 2586C</w:t>
      </w:r>
      <w:r>
        <w:rPr>
          <w:rFonts w:ascii="Times New Roman" w:hAnsi="Times New Roman"/>
          <w:b w:val="false"/>
          <w:i w:val="false"/>
          <w:color w:val="000000"/>
          <w:sz w:val="21"/>
        </w:rPr>
        <w:t xml:space="preserve"> (Notice ARC 2450C, IAB 3/16/16)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2792C</w:t>
      </w:r>
      <w:r>
        <w:rPr>
          <w:rFonts w:ascii="Times New Roman" w:hAnsi="Times New Roman"/>
          <w:b w:val="false"/>
          <w:i w:val="false"/>
          <w:color w:val="000000"/>
          <w:sz w:val="21"/>
        </w:rPr>
        <w:t xml:space="preserve"> (Notice ARC 2689C, IAB 8/31/16)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2793C</w:t>
      </w:r>
      <w:r>
        <w:rPr>
          <w:rFonts w:ascii="Times New Roman" w:hAnsi="Times New Roman"/>
          <w:b w:val="false"/>
          <w:i w:val="false"/>
          <w:color w:val="000000"/>
          <w:sz w:val="21"/>
        </w:rPr>
        <w:t xml:space="preserve"> (Notice ARC 2690C, IAB 8/31/16)</w:t>
      </w:r>
      <w:r>
        <w:rPr>
          <w:rFonts w:ascii="Times New Roman" w:hAnsi="Times New Roman"/>
          <w:b w:val="false"/>
          <w:i w:val="false"/>
          <w:color w:val="000000"/>
          <w:sz w:val="21"/>
        </w:rPr>
        <w:t>, IAB 11/9/16, effective 12/14/16]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r>
        <w:br/>
      </w:r>
      <w:r>
        <w:rPr>
          <w:rFonts w:ascii="Times New Roman" w:hAnsi="Times New Roman"/>
          <w:b w:val="false"/>
          <w:i w:val="false"/>
          <w:color w:val="000000"/>
          <w:sz w:val="21"/>
        </w:rPr>
        <w:t>[Filed ARC 3197C</w:t>
      </w:r>
      <w:r>
        <w:rPr>
          <w:rFonts w:ascii="Times New Roman" w:hAnsi="Times New Roman"/>
          <w:b w:val="false"/>
          <w:i w:val="false"/>
          <w:color w:val="000000"/>
          <w:sz w:val="21"/>
        </w:rPr>
        <w:t xml:space="preserve"> (Notice ARC 3047C,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3633C</w:t>
      </w:r>
      <w:r>
        <w:rPr>
          <w:rFonts w:ascii="Times New Roman" w:hAnsi="Times New Roman"/>
          <w:b w:val="false"/>
          <w:i w:val="false"/>
          <w:color w:val="000000"/>
          <w:sz w:val="21"/>
        </w:rPr>
        <w:t xml:space="preserve"> (Notice ARC 3471C, IAB 12/6/17)</w:t>
      </w:r>
      <w:r>
        <w:rPr>
          <w:rFonts w:ascii="Times New Roman" w:hAnsi="Times New Roman"/>
          <w:b w:val="false"/>
          <w:i w:val="false"/>
          <w:color w:val="000000"/>
          <w:sz w:val="21"/>
        </w:rPr>
        <w:t>, IAB 2/14/18, effective 3/21/18]</w:t>
      </w:r>
      <w:r>
        <w:br/>
      </w:r>
      <w:r>
        <w:rPr>
          <w:rFonts w:ascii="Times New Roman" w:hAnsi="Times New Roman"/>
          <w:b w:val="false"/>
          <w:i w:val="false"/>
          <w:color w:val="000000"/>
          <w:sz w:val="21"/>
        </w:rPr>
        <w:t>[Filed ARC 3634C</w:t>
      </w:r>
      <w:r>
        <w:rPr>
          <w:rFonts w:ascii="Times New Roman" w:hAnsi="Times New Roman"/>
          <w:b w:val="false"/>
          <w:i w:val="false"/>
          <w:color w:val="000000"/>
          <w:sz w:val="21"/>
        </w:rPr>
        <w:t xml:space="preserve"> (Notice ARC 3470C, IAB 12/6/17)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3829C</w:t>
      </w:r>
      <w:r>
        <w:rPr>
          <w:rFonts w:ascii="Times New Roman" w:hAnsi="Times New Roman"/>
          <w:b w:val="false"/>
          <w:i w:val="false"/>
          <w:color w:val="000000"/>
          <w:sz w:val="21"/>
        </w:rPr>
        <w:t xml:space="preserve"> (Notice ARC 3710C,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3979C</w:t>
      </w:r>
      <w:r>
        <w:rPr>
          <w:rFonts w:ascii="Times New Roman" w:hAnsi="Times New Roman"/>
          <w:b w:val="false"/>
          <w:i w:val="false"/>
          <w:color w:val="000000"/>
          <w:sz w:val="21"/>
        </w:rPr>
        <w:t xml:space="preserve"> (Notice ARC 3827C,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Emergency After Notice ARC 4621C</w:t>
      </w:r>
      <w:r>
        <w:rPr>
          <w:rFonts w:ascii="Times New Roman" w:hAnsi="Times New Roman"/>
          <w:b w:val="false"/>
          <w:i w:val="false"/>
          <w:color w:val="000000"/>
          <w:sz w:val="21"/>
        </w:rPr>
        <w:t xml:space="preserve"> (Notice ARC 4502C, IAB 6/19/19)</w:t>
      </w:r>
      <w:r>
        <w:rPr>
          <w:rFonts w:ascii="Times New Roman" w:hAnsi="Times New Roman"/>
          <w:b w:val="false"/>
          <w:i w:val="false"/>
          <w:color w:val="000000"/>
          <w:sz w:val="21"/>
        </w:rPr>
        <w:t>, IAB 8/28/19, effective 8/7/19]</w:t>
      </w:r>
    </w:p>
    <w:p>
      <w:pPr>
        <w:spacing w:before="0" w:after="0"/>
        <w:ind w:left="120"/>
        <w:jc w:val="center"/>
      </w:pPr>
      <w:r>
        <w:rPr>
          <w:rFonts w:ascii="Times New Roman" w:hAnsi="Times New Roman"/>
          <w:b w:val="false"/>
          <w:i w:val="false"/>
          <w:color w:val="000000"/>
          <w:sz w:val="21"/>
        </w:rPr>
        <w:t>[Filed ARC 5303C</w:t>
      </w:r>
      <w:r>
        <w:rPr>
          <w:rFonts w:ascii="Times New Roman" w:hAnsi="Times New Roman"/>
          <w:b w:val="false"/>
          <w:i w:val="false"/>
          <w:color w:val="000000"/>
          <w:sz w:val="21"/>
        </w:rPr>
        <w:t xml:space="preserve"> (Notice ARC 5169C, IAB 9/9/20)</w:t>
      </w:r>
      <w:r>
        <w:rPr>
          <w:rFonts w:ascii="Times New Roman" w:hAnsi="Times New Roman"/>
          <w:b w:val="false"/>
          <w:i w:val="false"/>
          <w:color w:val="000000"/>
          <w:sz w:val="21"/>
        </w:rPr>
        <w:t>, IAB 12/2/20, effective 1/6/21]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5304C</w:t>
      </w:r>
      <w:r>
        <w:rPr>
          <w:rFonts w:ascii="Times New Roman" w:hAnsi="Times New Roman"/>
          <w:b w:val="false"/>
          <w:i w:val="false"/>
          <w:color w:val="000000"/>
          <w:sz w:val="21"/>
        </w:rPr>
        <w:t xml:space="preserve"> (Notice ARC 5168C, IAB 9/9/20)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5321C</w:t>
      </w:r>
      <w:r>
        <w:rPr>
          <w:rFonts w:ascii="Times New Roman" w:hAnsi="Times New Roman"/>
          <w:b w:val="false"/>
          <w:i w:val="false"/>
          <w:color w:val="000000"/>
          <w:sz w:val="21"/>
        </w:rPr>
        <w:t xml:space="preserve"> (Notice ARC 5216C,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5322C</w:t>
      </w:r>
      <w:r>
        <w:rPr>
          <w:rFonts w:ascii="Times New Roman" w:hAnsi="Times New Roman"/>
          <w:b w:val="false"/>
          <w:i w:val="false"/>
          <w:color w:val="000000"/>
          <w:sz w:val="21"/>
        </w:rPr>
        <w:t xml:space="preserve"> (Notice ARC 5212C,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5416C</w:t>
      </w:r>
      <w:r>
        <w:rPr>
          <w:rFonts w:ascii="Times New Roman" w:hAnsi="Times New Roman"/>
          <w:b w:val="false"/>
          <w:i w:val="false"/>
          <w:color w:val="000000"/>
          <w:sz w:val="21"/>
        </w:rPr>
        <w:t xml:space="preserve"> (Notice ARC 5293C, IAB 12/2/20)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5802C</w:t>
      </w:r>
      <w:r>
        <w:rPr>
          <w:rFonts w:ascii="Times New Roman" w:hAnsi="Times New Roman"/>
          <w:b w:val="false"/>
          <w:i w:val="false"/>
          <w:color w:val="000000"/>
          <w:sz w:val="21"/>
        </w:rPr>
        <w:t xml:space="preserve"> (Notice ARC 5666C, IAB 6/2/21)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6128C</w:t>
      </w:r>
      <w:r>
        <w:rPr>
          <w:rFonts w:ascii="Times New Roman" w:hAnsi="Times New Roman"/>
          <w:b w:val="false"/>
          <w:i w:val="false"/>
          <w:color w:val="000000"/>
          <w:sz w:val="21"/>
        </w:rPr>
        <w:t xml:space="preserve"> (Notice ARC 5960C,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6245C</w:t>
      </w:r>
      <w:r>
        <w:rPr>
          <w:rFonts w:ascii="Times New Roman" w:hAnsi="Times New Roman"/>
          <w:b w:val="false"/>
          <w:i w:val="false"/>
          <w:color w:val="000000"/>
          <w:sz w:val="21"/>
        </w:rPr>
        <w:t xml:space="preserve"> (Notice ARC 6133C, IAB 1/12/22)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6867C</w:t>
      </w:r>
      <w:r>
        <w:rPr>
          <w:rFonts w:ascii="Times New Roman" w:hAnsi="Times New Roman"/>
          <w:b w:val="false"/>
          <w:i w:val="false"/>
          <w:color w:val="000000"/>
          <w:sz w:val="21"/>
        </w:rPr>
        <w:t xml:space="preserve"> (Notice ARC 6680C, IAB 11/16/22)</w:t>
      </w:r>
      <w:r>
        <w:rPr>
          <w:rFonts w:ascii="Times New Roman" w:hAnsi="Times New Roman"/>
          <w:b w:val="false"/>
          <w:i w:val="false"/>
          <w:color w:val="000000"/>
          <w:sz w:val="21"/>
        </w:rPr>
        <w:t>, IAB 2/8/23, effective 3/15/23]</w:t>
      </w:r>
      <w:r>
        <w:br/>
      </w:r>
      <w:r>
        <w:rPr>
          <w:rFonts w:ascii="Times New Roman" w:hAnsi="Times New Roman"/>
          <w:b w:val="false"/>
          <w:i w:val="false"/>
          <w:color w:val="000000"/>
          <w:sz w:val="21"/>
        </w:rPr>
        <w:t>[Filed ARC 6870C</w:t>
      </w:r>
      <w:r>
        <w:rPr>
          <w:rFonts w:ascii="Times New Roman" w:hAnsi="Times New Roman"/>
          <w:b w:val="false"/>
          <w:i w:val="false"/>
          <w:color w:val="000000"/>
          <w:sz w:val="21"/>
        </w:rPr>
        <w:t xml:space="preserve"> (Notice ARC 6677C,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8812C</w:t>
      </w:r>
      <w:r>
        <w:rPr>
          <w:rFonts w:ascii="Times New Roman" w:hAnsi="Times New Roman"/>
          <w:b w:val="false"/>
          <w:i w:val="false"/>
          <w:color w:val="000000"/>
          <w:sz w:val="21"/>
        </w:rPr>
        <w:t xml:space="preserve"> (Notice ARC 8291C,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December 14, 2016, effective date of 13.28(29)</w:t>
      </w:r>
      <w:r>
        <w:rPr>
          <w:rFonts w:ascii="Times New Roman" w:hAnsi="Times New Roman"/>
          <w:b w:val="false"/>
          <w:i/>
          <w:color w:val="000000"/>
          <w:sz w:val="22"/>
        </w:rPr>
        <w:t>“b”</w:t>
      </w:r>
      <w:r>
        <w:rPr>
          <w:rFonts w:ascii="Times New Roman" w:hAnsi="Times New Roman"/>
          <w:b w:val="false"/>
          <w:i w:val="false"/>
          <w:color w:val="000000"/>
          <w:sz w:val="22"/>
        </w:rPr>
        <w:t>(6) [ARC 2793C, Item 1] delayed until the adjournment of the 2017 General Assembly by the Administrative Rules Review Committee at its meeting held December 13, 2016.</w:t>
      </w:r>
    </w:p>
    <w:p>
      <w:pPr>
        <w:pBdr>
          <w:bottom w:space="2"/>
        </w:pBdr>
        <w:spacing w:before="0" w:after="0"/>
        <w:ind w:left="120"/>
        <w:jc w:val="both"/>
      </w:pPr>
      <w:r>
        <w:rPr>
          <w:rFonts w:ascii="Times New Roman" w:hAnsi="Times New Roman"/>
          <w:b w:val="false"/>
          <w:i w:val="false"/>
          <w:color w:val="000000"/>
          <w:sz w:val="22"/>
        </w:rPr>
        <w:t>January 6, 2021, effective date of 13.6 [ARC 5303C, Item 1] delayed until the adjournment of the 2021 session of the General Assembly by the Administrative Rules Review Committee at its meeting held December 8,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52.pdf" Type="http://schemas.openxmlformats.org/officeDocument/2006/relationships/hyperlink" Id="rId5"/>
    <Relationship TargetMode="External" Target="https://www.legis.iowa.gov/docs/ico/chapter/272C.12.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co/chapter/256.166.pdf" Type="http://schemas.openxmlformats.org/officeDocument/2006/relationships/hyperlink" Id="rId9"/>
    <Relationship TargetMode="External" Target="https://www.legis.iowa.gov/docs/iac/rule/282.13.1.pdf" Type="http://schemas.openxmlformats.org/officeDocument/2006/relationships/hyperlink" Id="rId10"/>
    <Relationship TargetMode="External" Target="https://www.legis.iowa.gov/docs/iac/rule/282.13.1.pdf" Type="http://schemas.openxmlformats.org/officeDocument/2006/relationships/hyperlink" Id="rId11"/>
    <Relationship TargetMode="External" Target="https://www.legis.iowa.gov/docs/iac/rule/282.13.1.pdf" Type="http://schemas.openxmlformats.org/officeDocument/2006/relationships/hyperlink" Id="rId12"/>
    <Relationship TargetMode="External" Target="https://www.legis.iowa.gov/docs/ico/chapter/256.163.pdf" Type="http://schemas.openxmlformats.org/officeDocument/2006/relationships/hyperlink" Id="rId13"/>
    <Relationship TargetMode="External" Target="https://www.legis.iowa.gov/docs/ico/chapter/256.pdf" Type="http://schemas.openxmlformats.org/officeDocument/2006/relationships/hyperlink" Id="rId14"/>
    <Relationship TargetMode="External" Target="https://www.legis.iowa.gov/docs/iac/rule/282.13.3.pdf" Type="http://schemas.openxmlformats.org/officeDocument/2006/relationships/hyperlink" Id="rId15"/>
    <Relationship TargetMode="External" Target="https://www.legis.iowa.gov/docs/iac/rule/282.14.1.pdf" Type="http://schemas.openxmlformats.org/officeDocument/2006/relationships/hyperlink" Id="rId16"/>
    <Relationship TargetMode="External" Target="https://www.legis.iowa.gov/docs/ico/chapter/256B.pdf" Type="http://schemas.openxmlformats.org/officeDocument/2006/relationships/hyperlink" Id="rId17"/>
    <Relationship TargetMode="External" Target="https://www.legis.iowa.gov/docs/ico/chapter/256.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