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FEES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282—12.1</w:t>
      </w:r>
      <w:r>
        <w:rPr>
          <w:rFonts w:ascii="Times New Roman" w:hAnsi="Times New Roman"/>
          <w:b/>
          <w:i w:val="false"/>
          <w:color w:val="000000"/>
          <w:sz w:val="22"/>
        </w:rPr>
        <w:t xml:space="preserve">(256) </w:t>
      </w:r>
      <w:r>
        <w:rPr>
          <w:rFonts w:ascii="Times New Roman" w:hAnsi="Times New Roman"/>
          <w:b/>
          <w:i w:val="false"/>
          <w:color w:val="000000"/>
          <w:sz w:val="22"/>
        </w:rPr>
        <w:t xml:space="preserve">Issuance fees. </w:t>
      </w:r>
      <w:r>
        <w:rPr>
          <w:rFonts w:ascii="Times New Roman" w:hAnsi="Times New Roman"/>
          <w:b w:val="false"/>
          <w:i w:val="false"/>
          <w:color w:val="000000"/>
          <w:sz w:val="22"/>
        </w:rPr>
        <w:t>The fee for the issuance of a license, certificate, statement of professional recognition, or authorization will be $85 unless otherwise specified below: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paraeducator certificate will be $40.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behind-the-wheel authorization will be $40.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application fee will be waived for applicants who meet the requirements under </w:t>
      </w:r>
      <w:hyperlink r:id="rId5">
        <w:r>
          <w:rPr>
            <w:rStyle w:val="Hyperlink"/>
            <w:rFonts w:ascii="Times New Roman" w:hAnsi="Times New Roman"/>
            <w:b w:val="false"/>
            <w:i w:val="false"/>
            <w:color w:val="000000"/>
            <w:sz w:val="22"/>
          </w:rPr>
          <w:t>282—subrule 13.1(4)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8811C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282—12.2</w:t>
      </w:r>
      <w:r>
        <w:rPr>
          <w:rFonts w:ascii="Times New Roman" w:hAnsi="Times New Roman"/>
          <w:b/>
          <w:i w:val="false"/>
          <w:color w:val="000000"/>
          <w:sz w:val="22"/>
        </w:rPr>
        <w:t xml:space="preserve">(256) </w:t>
      </w:r>
      <w:r>
        <w:rPr>
          <w:rFonts w:ascii="Times New Roman" w:hAnsi="Times New Roman"/>
          <w:b/>
          <w:i w:val="false"/>
          <w:color w:val="000000"/>
          <w:sz w:val="22"/>
        </w:rPr>
        <w:t xml:space="preserve">Renewal fees. </w:t>
      </w:r>
      <w:r>
        <w:rPr>
          <w:rFonts w:ascii="Times New Roman" w:hAnsi="Times New Roman"/>
          <w:b w:val="false"/>
          <w:i w:val="false"/>
          <w:color w:val="000000"/>
          <w:sz w:val="22"/>
        </w:rPr>
        <w:t>The fee for the renewal or extension of a license, certificate, statement of professional recognition, or authorization will be $85 unless otherwise specified below: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renewal of the paraeducator certificate will be $40.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renewal of the behind-the-wheel authorization will be $40.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one-year extension of a coaching authorization will be $40.</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one-year extension of the temporary initial, initial teaching, or initial administrator license will be $25 if the applicant needs additional time to meet the experience requirement and all standards have been met.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fee for the renewal of a license, certificate, statement of professional recognition, or authorization for practitioners with a master’s degree or higher who have ten or more years of experience in education will be $50.</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Class E emergency extension license will be $150.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8811C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282—12.3</w:t>
      </w:r>
      <w:r>
        <w:rPr>
          <w:rFonts w:ascii="Times New Roman" w:hAnsi="Times New Roman"/>
          <w:b/>
          <w:i w:val="false"/>
          <w:color w:val="000000"/>
          <w:sz w:val="22"/>
        </w:rPr>
        <w:t xml:space="preserve">(256) </w:t>
      </w:r>
      <w:r>
        <w:rPr>
          <w:rFonts w:ascii="Times New Roman" w:hAnsi="Times New Roman"/>
          <w:b/>
          <w:i w:val="false"/>
          <w:color w:val="000000"/>
          <w:sz w:val="22"/>
        </w:rPr>
        <w:t xml:space="preserve">Evaluation and endorsement fees.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evaluation fee for applications from out-of-state or out-of-country institutions will be $60.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fee for adding an endorsement will be $50. The fee for a transcript evaluation will be $60.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fee for adding an area of concentration to a paraeducator certificate will be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8811C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282—12.4</w:t>
      </w:r>
      <w:r>
        <w:rPr>
          <w:rFonts w:ascii="Times New Roman" w:hAnsi="Times New Roman"/>
          <w:b/>
          <w:i w:val="false"/>
          <w:color w:val="000000"/>
          <w:sz w:val="22"/>
        </w:rPr>
        <w:t xml:space="preserve">(256) </w:t>
      </w:r>
      <w:r>
        <w:rPr>
          <w:rFonts w:ascii="Times New Roman" w:hAnsi="Times New Roman"/>
          <w:b/>
          <w:i w:val="false"/>
          <w:color w:val="000000"/>
          <w:sz w:val="22"/>
        </w:rPr>
        <w:t xml:space="preserve">Duplicate fees. </w:t>
      </w:r>
      <w:r>
        <w:rPr>
          <w:rFonts w:ascii="Times New Roman" w:hAnsi="Times New Roman"/>
          <w:b w:val="false"/>
          <w:i w:val="false"/>
          <w:color w:val="000000"/>
          <w:sz w:val="22"/>
        </w:rPr>
        <w:t>The fee for the printed issuance of a practitioner’s license, a certificate, a statement of professional recognition, or an authorization will be $15.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8811C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282—12.5</w:t>
      </w:r>
      <w:r>
        <w:rPr>
          <w:rFonts w:ascii="Times New Roman" w:hAnsi="Times New Roman"/>
          <w:b/>
          <w:i w:val="false"/>
          <w:color w:val="000000"/>
          <w:sz w:val="22"/>
        </w:rPr>
        <w:t xml:space="preserve">(256) </w:t>
      </w:r>
      <w:r>
        <w:rPr>
          <w:rFonts w:ascii="Times New Roman" w:hAnsi="Times New Roman"/>
          <w:b/>
          <w:i w:val="false"/>
          <w:color w:val="000000"/>
          <w:sz w:val="22"/>
        </w:rPr>
        <w:t xml:space="preserve">Late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val="false"/>
          <w:color w:val="000000"/>
          <w:sz w:val="22"/>
        </w:rPr>
        <w:t>An additional fee of $25 per calendar month, not to exceed $150, will be imposed if an application is submitted after the date of expiration of a practitioner’s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val="false"/>
          <w:color w:val="000000"/>
          <w:sz w:val="22"/>
        </w:rPr>
        <w:t>An additional fee of $25 per calendar month, not to exceed $150, will be imposed if the practitioner holds a valid Iowa license but does not hold an endorsement for the type of service for which the practitioner is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val="false"/>
          <w:color w:val="000000"/>
          <w:sz w:val="22"/>
        </w:rPr>
        <w:t>An additional fee of $100 per calendar month, not to exceed $500, will be imposed if the practitioner does not hold a valid Iowa license or authorization. The fee will begin to be assessed on the first day of the school year for which the practitioner is employed until the practitioner submits a completed application packet for the appropriate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val="false"/>
          <w:color w:val="000000"/>
          <w:sz w:val="22"/>
        </w:rPr>
        <w:t>Waivers of late fees will be granted only upon a showing of extraordinary circumstances rendering imposition of the fee unreasonable.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8811C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282—12.6</w:t>
      </w:r>
      <w:r>
        <w:rPr>
          <w:rFonts w:ascii="Times New Roman" w:hAnsi="Times New Roman"/>
          <w:b/>
          <w:i w:val="false"/>
          <w:color w:val="000000"/>
          <w:sz w:val="22"/>
        </w:rPr>
        <w:t xml:space="preserve">(256) </w:t>
      </w:r>
      <w:r>
        <w:rPr>
          <w:rFonts w:ascii="Times New Roman" w:hAnsi="Times New Roman"/>
          <w:b/>
          <w:i w:val="false"/>
          <w:color w:val="000000"/>
          <w:sz w:val="22"/>
        </w:rPr>
        <w:t xml:space="preserve">Retention of incomplete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Timeline for complete application materials to be submitted. </w:t>
      </w:r>
      <w:r>
        <w:rPr>
          <w:rFonts w:ascii="Times New Roman" w:hAnsi="Times New Roman"/>
          <w:b w:val="false"/>
          <w:i w:val="false"/>
          <w:color w:val="000000"/>
          <w:sz w:val="22"/>
        </w:rPr>
        <w:t>Upon receipt of an incomplete application, the executive director or designee will send a letter of deficiencies to the applicant stipulating that complete application materials will be submitted to the board office within 45 days of the date the letter is received. If the materials are not received within that timeline, the application process will be closed. If the applicant submits information after the 45-day deadline, the application process requires submission of a complete set of application materials and fees, including late fees if applicable, for practicing with an expired license, without the proper endorsement, or without an Iowa board-issued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The background check fee is valid for one year. If a license is not issued within one year of a completed background check, the background check will be considered void.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color w:val="000000"/>
          <w:sz w:val="22"/>
        </w:rPr>
        <w:t xml:space="preserve">Request for additional time. </w:t>
      </w:r>
      <w:r>
        <w:rPr>
          <w:rFonts w:ascii="Times New Roman" w:hAnsi="Times New Roman"/>
          <w:b w:val="false"/>
          <w:i w:val="false"/>
          <w:color w:val="000000"/>
          <w:sz w:val="22"/>
        </w:rPr>
        <w:t>If the applicant is not able to submit the application materials by the deadline, the applicant may contact the executive director with a request for additional time. The executive director will review the request and provide a written decision either approving or denying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8811C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282—12.7</w:t>
      </w:r>
      <w:r>
        <w:rPr>
          <w:rFonts w:ascii="Times New Roman" w:hAnsi="Times New Roman"/>
          <w:b/>
          <w:i w:val="false"/>
          <w:color w:val="000000"/>
          <w:sz w:val="22"/>
        </w:rPr>
        <w:t xml:space="preserve">(256) </w:t>
      </w:r>
      <w:r>
        <w:rPr>
          <w:rFonts w:ascii="Times New Roman" w:hAnsi="Times New Roman"/>
          <w:b/>
          <w:i w:val="false"/>
          <w:color w:val="000000"/>
          <w:sz w:val="22"/>
        </w:rPr>
        <w:t xml:space="preserve">Fees for processing complaints and conducting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color w:val="000000"/>
          <w:sz w:val="22"/>
        </w:rPr>
        <w:t xml:space="preserve">Administrator licensure sanction. </w:t>
      </w:r>
      <w:r>
        <w:rPr>
          <w:rFonts w:ascii="Times New Roman" w:hAnsi="Times New Roman"/>
          <w:b w:val="false"/>
          <w:i w:val="false"/>
          <w:color w:val="000000"/>
          <w:sz w:val="22"/>
        </w:rPr>
        <w:t>If an administrator is a respondent in a complaint for violation of the code of professional conduct and ethics and the final board action results in a sanction, the administrator will be required to pay the fees that were related to processing the complaint and conducting the hearing. Such fees may include a fee for personal service by a sheriff, a fee for legal notice when placed in a newspaper, a fee for transcription service or court reporter fee, and other fees assessed as costs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color w:val="000000"/>
          <w:sz w:val="22"/>
        </w:rPr>
        <w:t xml:space="preserve">Timeline for payment and board order. </w:t>
      </w:r>
      <w:r>
        <w:rPr>
          <w:rFonts w:ascii="Times New Roman" w:hAnsi="Times New Roman"/>
          <w:b w:val="false"/>
          <w:i w:val="false"/>
          <w:color w:val="000000"/>
          <w:sz w:val="22"/>
        </w:rPr>
        <w:t>Fees will be submitted to the board office within 45 days from the issuance of the letter outlining the required fees. Payment of fees may be imposed as a board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8811C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8606B</w:t>
      </w:r>
      <w:r>
        <w:rPr>
          <w:rFonts w:ascii="Times New Roman" w:hAnsi="Times New Roman"/>
          <w:b w:val="false"/>
          <w:i w:val="false"/>
          <w:color w:val="000000"/>
          <w:sz w:val="21"/>
        </w:rPr>
        <w:t xml:space="preserve"> (Notice ARC 8251B, IAB 11/4/09)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9386B</w:t>
      </w:r>
      <w:r>
        <w:rPr>
          <w:rFonts w:ascii="Times New Roman" w:hAnsi="Times New Roman"/>
          <w:b w:val="false"/>
          <w:i w:val="false"/>
          <w:color w:val="000000"/>
          <w:sz w:val="21"/>
        </w:rPr>
        <w:t xml:space="preserve"> (Notice ARC 9203B, IAB 11/3/10)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9743B</w:t>
      </w:r>
      <w:r>
        <w:rPr>
          <w:rFonts w:ascii="Times New Roman" w:hAnsi="Times New Roman"/>
          <w:b w:val="false"/>
          <w:i w:val="false"/>
          <w:color w:val="000000"/>
          <w:sz w:val="21"/>
        </w:rPr>
        <w:t xml:space="preserve"> (Notice ARC 9570B, IAB 6/29/11)</w:t>
      </w:r>
      <w:r>
        <w:rPr>
          <w:rFonts w:ascii="Times New Roman" w:hAnsi="Times New Roman"/>
          <w:b w:val="false"/>
          <w:i w:val="false"/>
          <w:color w:val="000000"/>
          <w:sz w:val="21"/>
        </w:rPr>
        <w:t>, IAB 9/7/11, effective 10/12/11]</w:t>
      </w:r>
    </w:p>
    <w:p>
      <w:pPr>
        <w:spacing w:before="0" w:after="0"/>
        <w:ind w:left="120"/>
        <w:jc w:val="center"/>
      </w:pPr>
      <w:r>
        <w:rPr>
          <w:rFonts w:ascii="Times New Roman" w:hAnsi="Times New Roman"/>
          <w:b w:val="false"/>
          <w:i w:val="false"/>
          <w:color w:val="000000"/>
          <w:sz w:val="21"/>
        </w:rPr>
        <w:t>[Filed ARC 2017C</w:t>
      </w:r>
      <w:r>
        <w:rPr>
          <w:rFonts w:ascii="Times New Roman" w:hAnsi="Times New Roman"/>
          <w:b w:val="false"/>
          <w:i w:val="false"/>
          <w:color w:val="000000"/>
          <w:sz w:val="21"/>
        </w:rPr>
        <w:t xml:space="preserve"> (Notice ARC 1919C, IAB 3/18/15)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2229C</w:t>
      </w:r>
      <w:r>
        <w:rPr>
          <w:rFonts w:ascii="Times New Roman" w:hAnsi="Times New Roman"/>
          <w:b w:val="false"/>
          <w:i w:val="false"/>
          <w:color w:val="000000"/>
          <w:sz w:val="21"/>
        </w:rPr>
        <w:t xml:space="preserve"> (Notice ARC 2131C, IAB 9/2/15)</w:t>
      </w:r>
      <w:r>
        <w:rPr>
          <w:rFonts w:ascii="Times New Roman" w:hAnsi="Times New Roman"/>
          <w:b w:val="false"/>
          <w:i w:val="false"/>
          <w:color w:val="000000"/>
          <w:sz w:val="21"/>
        </w:rPr>
        <w:t>, IAB 11/11/15, effective 12/16/15]</w:t>
      </w:r>
      <w:r>
        <w:rPr>
          <w:rFonts w:ascii="Times New Roman" w:hAnsi="Times New Roman"/>
          <w:b w:val="false"/>
          <w:i w:val="false"/>
          <w:color w:val="000000"/>
          <w:sz w:val="10"/>
        </w:rPr>
        <w:t>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3196C</w:t>
      </w:r>
      <w:r>
        <w:rPr>
          <w:rFonts w:ascii="Times New Roman" w:hAnsi="Times New Roman"/>
          <w:b w:val="false"/>
          <w:i w:val="false"/>
          <w:color w:val="000000"/>
          <w:sz w:val="21"/>
        </w:rPr>
        <w:t xml:space="preserve"> (Notice ARC 3012C, IAB 4/12/17)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5304C</w:t>
      </w:r>
      <w:r>
        <w:rPr>
          <w:rFonts w:ascii="Times New Roman" w:hAnsi="Times New Roman"/>
          <w:b w:val="false"/>
          <w:i w:val="false"/>
          <w:color w:val="000000"/>
          <w:sz w:val="21"/>
        </w:rPr>
        <w:t xml:space="preserve"> (Notice ARC 5168C, IAB 9/9/20)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6130C</w:t>
      </w:r>
      <w:r>
        <w:rPr>
          <w:rFonts w:ascii="Times New Roman" w:hAnsi="Times New Roman"/>
          <w:b w:val="false"/>
          <w:i w:val="false"/>
          <w:color w:val="000000"/>
          <w:sz w:val="21"/>
        </w:rPr>
        <w:t xml:space="preserve"> (Notice ARC 5938C,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7719C</w:t>
      </w:r>
      <w:r>
        <w:rPr>
          <w:rFonts w:ascii="Times New Roman" w:hAnsi="Times New Roman"/>
          <w:b w:val="false"/>
          <w:i w:val="false"/>
          <w:color w:val="000000"/>
          <w:sz w:val="21"/>
        </w:rPr>
        <w:t xml:space="preserve"> (Notice ARC 7193C, IAB 12/13/23)</w:t>
      </w:r>
      <w:r>
        <w:rPr>
          <w:rFonts w:ascii="Times New Roman" w:hAnsi="Times New Roman"/>
          <w:b w:val="false"/>
          <w:i w:val="false"/>
          <w:color w:val="000000"/>
          <w:sz w:val="21"/>
        </w:rPr>
        <w:t>, IAB 3/20/24, effective 4/24/24]</w:t>
      </w:r>
    </w:p>
    <w:p>
      <w:pPr>
        <w:spacing w:before="0" w:after="0"/>
        <w:ind w:left="120"/>
        <w:jc w:val="center"/>
      </w:pPr>
      <w:r>
        <w:rPr>
          <w:rFonts w:ascii="Times New Roman" w:hAnsi="Times New Roman"/>
          <w:b w:val="false"/>
          <w:i w:val="false"/>
          <w:color w:val="000000"/>
          <w:sz w:val="21"/>
        </w:rPr>
        <w:t>[Filed ARC 8811C</w:t>
      </w:r>
      <w:r>
        <w:rPr>
          <w:rFonts w:ascii="Times New Roman" w:hAnsi="Times New Roman"/>
          <w:b w:val="false"/>
          <w:i w:val="false"/>
          <w:color w:val="000000"/>
          <w:sz w:val="21"/>
        </w:rPr>
        <w:t xml:space="preserve"> (Notice ARC 8290C, IAB 10/30/24)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December 16, 2015, effective date of ARC 2229C [12.1 to 12.6, 12.8] delayed until the adjournment of the 2016 General Assembly by the Administrative Rules Review Committee at its meeting held December 8, 2015.</w:t>
      </w:r>
    </w:p>
    <w:p>
      <w:pPr>
        <w:pBdr>
          <w:bottom w:space="2"/>
        </w:pBdr>
        <w:spacing w:before="0" w:after="0"/>
        <w:ind w:left="120"/>
        <w:jc w:val="both"/>
      </w:pPr>
      <w:r>
        <w:rPr>
          <w:rFonts w:ascii="Times New Roman" w:hAnsi="Times New Roman"/>
          <w:b w:val="false"/>
          <w:i w:val="false"/>
          <w:color w:val="000000"/>
          <w:sz w:val="22"/>
        </w:rPr>
        <w:t>See SJR 2007 of the 2016 Session of the Eighty-sixth General Assembly regarding nullification of the amendments to 12.1 to 12.6 and 12.8 (ARC 2229C, IAB 11/11/15). Prior language restored IAC Supplement 4/27/16.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2.13.1.pdf" Type="http://schemas.openxmlformats.org/officeDocument/2006/relationships/hyperlink" Id="rId5"/>
    <Relationship TargetMode="External" Target="https://www.legis.iowa.gov/docs/ico/chapter/25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