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COMPLAINTS, INVESTIGATIONS, CONTESTED CASE HEARINGS</w:t>
      </w:r>
    </w:p>
    <w:p>
      <w:pPr>
        <w:spacing w:before="0" w:after="0"/>
        <w:ind w:left="120"/>
        <w:jc w:val="center"/>
      </w:pPr>
      <w:r>
        <w:rPr>
          <w:rFonts w:ascii="Times New Roman" w:hAnsi="Times New Roman"/>
          <w:b w:val="false"/>
          <w:i w:val="false"/>
          <w:color w:val="000000"/>
          <w:sz w:val="20"/>
        </w:rPr>
        <w:t>[Prior to 6/15/88, see Professional Teaching Practices Commission[640] Ch 2]</w:t>
      </w:r>
    </w:p>
    <w:p>
      <w:pPr>
        <w:spacing w:before="0" w:after="0"/>
        <w:ind w:left="120"/>
        <w:jc w:val="center"/>
      </w:pPr>
      <w:r>
        <w:rPr>
          <w:rFonts w:ascii="Times New Roman" w:hAnsi="Times New Roman"/>
          <w:b w:val="false"/>
          <w:i w:val="false"/>
          <w:color w:val="000000"/>
          <w:sz w:val="20"/>
        </w:rPr>
        <w:t>[Prior to 5/16/90, see Professional Teaching Practices Commission[287]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210" w:after="0"/>
        <w:ind w:left="120"/>
        <w:jc w:val="both"/>
      </w:pPr>
      <w:r>
        <w:rPr>
          <w:rFonts w:ascii="Times New Roman" w:hAnsi="Times New Roman"/>
          <w:b/>
          <w:i w:val="false"/>
          <w:color w:val="000000"/>
          <w:sz w:val="22"/>
        </w:rPr>
        <w:t>282—11.1</w:t>
      </w:r>
      <w:r>
        <w:rPr>
          <w:rFonts w:ascii="Times New Roman" w:hAnsi="Times New Roman"/>
          <w:b/>
          <w:i w:val="false"/>
          <w:color w:val="000000"/>
          <w:sz w:val="22"/>
        </w:rPr>
        <w:t xml:space="preserve">(17A,256)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282—11.2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“Complainant”</w:t>
      </w:r>
      <w:r>
        <w:rPr>
          <w:rFonts w:ascii="Times New Roman" w:hAnsi="Times New Roman"/>
          <w:b w:val="false"/>
          <w:i w:val="false"/>
          <w:color w:val="000000"/>
          <w:sz w:val="22"/>
        </w:rPr>
        <w:t> </w:t>
      </w:r>
      <w:r>
        <w:rPr>
          <w:rFonts w:ascii="Times New Roman" w:hAnsi="Times New Roman"/>
          <w:b w:val="false"/>
          <w:i w:val="false"/>
          <w:color w:val="000000"/>
          <w:sz w:val="22"/>
        </w:rPr>
        <w:t>means any qualified party who files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hearing”</w:t>
      </w:r>
      <w:r>
        <w:rPr>
          <w:rFonts w:ascii="Times New Roman" w:hAnsi="Times New Roman"/>
          <w:b w:val="false"/>
          <w:i w:val="false"/>
          <w:color w:val="000000"/>
          <w:sz w:val="22"/>
        </w:rPr>
        <w:t> </w:t>
      </w:r>
      <w:r>
        <w:rPr>
          <w:rFonts w:ascii="Times New Roman" w:hAnsi="Times New Roman"/>
          <w:b w:val="false"/>
          <w:i w:val="false"/>
          <w:color w:val="000000"/>
          <w:sz w:val="22"/>
        </w:rPr>
        <w:t>means an appeal hearing where the administrative law judge and appellant are physically present in the same location but witnesses are not required to be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an administrative law judge from the department of inspections, appeals, and licensing or the full board or a three-member panel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presiding officer’s recommended findings of fact, conclusions of law, decision, and order in a contested case in which the full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charged in a complaint with violating the criteria of professional practices or the criteria of competent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w:t>
      </w:r>
      <w:r>
        <w:rPr>
          <w:rFonts w:ascii="Times New Roman" w:hAnsi="Times New Roman"/>
          <w:b/>
          <w:i w:val="false"/>
          <w:color w:val="000000"/>
          <w:sz w:val="22"/>
        </w:rPr>
        <w:t xml:space="preserve">(17A,256) </w:t>
      </w:r>
      <w:r>
        <w:rPr>
          <w:rFonts w:ascii="Times New Roman" w:hAnsi="Times New Roman"/>
          <w:b/>
          <w:i w:val="false"/>
          <w:color w:val="000000"/>
          <w:sz w:val="22"/>
        </w:rPr>
        <w:t xml:space="preserve">Jurisdictional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The case must relate to alleged violation of the criteria of professional practices or the criteria of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The magnitude of the alleged violation must be adequate to warrant a hearing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There must be sufficient evidence to support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The complaint must be filed by a person who has personal knowledge of an alleged violation and must include a concise statement of facts that clearly and specifically apprises the respondent of the details of the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complaint must be filed within three years of the occurrence of the conduct upon which it is based or discovery of the conduct by the complainant unless good cause can be shown for extension of this limitation or unless the conduct constitutes conduct described in Iowa Code section </w:t>
      </w:r>
      <w:hyperlink r:id="rId7">
        <w:r>
          <w:rPr>
            <w:rStyle w:val="Hyperlink"/>
            <w:rFonts w:ascii="Times New Roman" w:hAnsi="Times New Roman"/>
            <w:b w:val="false"/>
            <w:i w:val="false"/>
            <w:color w:val="000000"/>
            <w:sz w:val="22"/>
          </w:rPr>
          <w:t>256.160(1)</w:t>
        </w:r>
      </w:hyperlink>
      <w:r>
        <w:rPr>
          <w:rFonts w:ascii="Times New Roman" w:hAnsi="Times New Roman"/>
          <w:b w:val="false"/>
          <w:i/>
          <w:color w:val="000000"/>
          <w:sz w:val="22"/>
        </w:rPr>
        <w:t>“a”</w:t>
      </w:r>
      <w:r>
        <w:rPr>
          <w:rFonts w:ascii="Times New Roman" w:hAnsi="Times New Roman"/>
          <w:b w:val="false"/>
          <w:i w:val="false"/>
          <w:color w:val="000000"/>
          <w:sz w:val="22"/>
        </w:rPr>
        <w:t>(1)(a).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The jurisdictional requirements must be met on the face of the complaint before the board may order an investigation of the allegation(s)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282—11.4</w:t>
      </w:r>
      <w:r>
        <w:rPr>
          <w:rFonts w:ascii="Times New Roman" w:hAnsi="Times New Roman"/>
          <w:b/>
          <w:i w:val="false"/>
          <w:color w:val="000000"/>
          <w:sz w:val="22"/>
        </w:rPr>
        <w:t xml:space="preserve">(17A,256) </w:t>
      </w:r>
      <w:r>
        <w:rPr>
          <w:rFonts w:ascii="Times New Roman" w:hAnsi="Times New Roman"/>
          <w:b/>
          <w:i w:val="false"/>
          <w:color w:val="000000"/>
          <w:sz w:val="22"/>
        </w:rPr>
        <w:t xml:space="preserve">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Who may initiate. </w:t>
      </w:r>
      <w:r>
        <w:rPr>
          <w:rFonts w:ascii="Times New Roman" w:hAnsi="Times New Roman"/>
          <w:b w:val="false"/>
          <w:i w:val="false"/>
          <w:color w:val="000000"/>
          <w:sz w:val="22"/>
        </w:rPr>
        <w:t>The following entities may initiate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 human resource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Recognized educational entities or local or state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boards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Parents or guardians of students involved in the alleged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board of educational examiners if the following circumstances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receives information that a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felony criminal offense, or a misdemeanor criminal offense wherein the victim of the crime was 18 years of age or younger, and the executive director expressly determines within the complaint that the nature of the offense clearly and directly impacts the practitioner’s fitness or ability to retain the specific license(s) or authorization(s) that the practitioner holds;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the subject of a founded report of child abuse placed upon the central registry maintained by the department of health and human services pursuant to Iowa Code section </w:t>
      </w:r>
      <w:hyperlink r:id="rId8">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and the executive director expressly determines within the complaint that the nature of the offense clearly and directly impacts the practitioner’s fitness or ability to retain the specific license(s) or authorization(s) that the practitioner holds;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met a reporting requirement stipulated by Iowa Code section </w:t>
      </w:r>
      <w:hyperlink r:id="rId9">
        <w:r>
          <w:rPr>
            <w:rStyle w:val="Hyperlink"/>
            <w:rFonts w:ascii="Times New Roman" w:hAnsi="Times New Roman"/>
            <w:b w:val="false"/>
            <w:i w:val="false"/>
            <w:color w:val="000000"/>
            <w:sz w:val="22"/>
          </w:rPr>
          <w:t>256.160</w:t>
        </w:r>
      </w:hyperlink>
      <w:r>
        <w:rPr>
          <w:rFonts w:ascii="Times New Roman" w:hAnsi="Times New Roman"/>
          <w:b w:val="false"/>
          <w:i w:val="false"/>
          <w:color w:val="000000"/>
          <w:sz w:val="22"/>
        </w:rPr>
        <w:t xml:space="preserve">, Iowa Code section </w:t>
      </w:r>
      <w:hyperlink r:id="rId10">
        <w:r>
          <w:rPr>
            <w:rStyle w:val="Hyperlink"/>
            <w:rFonts w:ascii="Times New Roman" w:hAnsi="Times New Roman"/>
            <w:b w:val="false"/>
            <w:i w:val="false"/>
            <w:color w:val="000000"/>
            <w:sz w:val="22"/>
          </w:rPr>
          <w:t>279.43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281—subrule 102.11(2)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282—Chapter 11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282—Chapter 25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falsified a license or authorization issued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submitted false information on a license or authorization application filed with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Does not hold the appropriate license for the assignment for which the practitioner is currently employed;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assigned another practitioner to perform services for which the practitioner is not properly licensed;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Has failed to comply with a board order as prohibited by </w:t>
      </w:r>
      <w:hyperlink r:id="rId14">
        <w:r>
          <w:rPr>
            <w:rStyle w:val="Hyperlink"/>
            <w:rFonts w:ascii="Times New Roman" w:hAnsi="Times New Roman"/>
            <w:b w:val="false"/>
            <w:i w:val="false"/>
            <w:color w:val="000000"/>
            <w:sz w:val="22"/>
          </w:rPr>
          <w:t>282—paragraph 25.3(7)</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verifies the information or the alleged misconduct through review of official records maintained by the board, a court, the department of health and human services registry of founded child abuse reports, the practitioner licensing authority of another state, the department of education, the local school district, area education agency, or authorities in charge of the nonpublic school, or the executive director is presented with the falsified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other complaint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of transportation if the licensee named in the complaint holds a behind-the-wheel instructor’s certification issued by the department and the complaint relates to an incident or incidents arising during the course of driver’s education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of the department of education who, while performing official duties, becomes aware of any alleged misconduct by an individual licensed under Iowa Code section </w:t>
      </w:r>
      <w:hyperlink r:id="rId15">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will be in writing and signed by at least one complainant who has personal knowledge of an alleged violation of the board’s rules or related state law or an authorized representative if the complainant is an organization. (An official form may be used. This form may be obtained from the board upon request, and a typed signature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will show venue as “BEFORE THE BOARD OF EDUCATIONAL EXAMINERS” and will be captioned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facts that clearly and specifically apprises the respondent of the details of the alleged violation of the criteria of professional practices or the criteria of competent performance and the relief sought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the basis of the complainant’s personal knowledge of the facts underlying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Required copies—place and time of filing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complaint will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will be delivered personally, electronically, or by mail to the office of the board. The current office address is 701 East Court Avenue, Suite A,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Amendment or withdrawal of complaint. </w:t>
      </w:r>
      <w:r>
        <w:rPr>
          <w:rFonts w:ascii="Times New Roman" w:hAnsi="Times New Roman"/>
          <w:b w:val="false"/>
          <w:i w:val="false"/>
          <w:color w:val="000000"/>
          <w:sz w:val="22"/>
        </w:rPr>
        <w:t xml:space="preserve">A complaint or any specification thereof may be amended or withdrawn by the complainant at any time unless the complaint was filed in accordance with the required reporting requirements set forth in Iowa Code sections </w:t>
      </w:r>
      <w:hyperlink r:id="rId16">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260.160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279.73</w:t>
        </w:r>
      </w:hyperlink>
      <w:r>
        <w:rPr>
          <w:rFonts w:ascii="Times New Roman" w:hAnsi="Times New Roman"/>
          <w:b w:val="false"/>
          <w:i w:val="false"/>
          <w:color w:val="000000"/>
          <w:sz w:val="22"/>
        </w:rPr>
        <w:t xml:space="preserve">. The parties to a complaint may mutually agree to the resolution of the complaint prior to a finding of probable cause unless the complaint was filed in accordance with the required reporting requirements set forth in Iowa Code sections </w:t>
      </w:r>
      <w:hyperlink r:id="rId19">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256.160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279.73.</w:t>
        </w:r>
      </w:hyperlink>
      <w:r>
        <w:rPr>
          <w:rFonts w:ascii="Times New Roman" w:hAnsi="Times New Roman"/>
          <w:b w:val="false"/>
          <w:i w:val="false"/>
          <w:color w:val="000000"/>
          <w:sz w:val="22"/>
        </w:rPr>
        <w:t xml:space="preserve"> The resolution must be committed to a written agreement and filed with the board. The agreement is not subject to approval by the board but will be acknowledged by the board and may be incorporated into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Respondent entitled to copy of the complaint. </w:t>
      </w:r>
      <w:r>
        <w:rPr>
          <w:rFonts w:ascii="Times New Roman" w:hAnsi="Times New Roman"/>
          <w:b w:val="false"/>
          <w:i w:val="false"/>
          <w:color w:val="000000"/>
          <w:sz w:val="22"/>
        </w:rPr>
        <w:t xml:space="preserve">Immediately upon the board’s determination that jurisdictional requirements have been met, the respondent will be provided a copy of the complaint or amended complaint and any supporting documents attached to the complaint at the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of license—agreement to accept lesser sanction. </w:t>
      </w:r>
      <w:r>
        <w:rPr>
          <w:rFonts w:ascii="Times New Roman" w:hAnsi="Times New Roman"/>
          <w:b w:val="false"/>
          <w:i w:val="false"/>
          <w:color w:val="000000"/>
          <w:sz w:val="22"/>
        </w:rPr>
        <w:t>A practitioner may voluntarily surrender the practitioner’s license or agree to accept a lesser sanction from the board prior to or after the filing of a complaint with the board without admitting the truth of the allegations of the complaint if a complaint is on file with the board. In order to voluntarily surrender a license or submit to a sanction, the practitioner must waive the right to hearing before the board and notify the board of the intent to surrender or accept sanction. The board may issue an order permanently revoking the practitioner’s license if it is surrendered, or implementing the agreed upon sanction. The board may decline to issue an agreed upon sanction if, in the board’s judgment, the agreed upon sanction is not appropriate for the circumstances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license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received by the board from another state, territory or other jurisdiction concerning licenses or certificate revocation or suspension will be reviewed and investigated by the board in the same manner as is prescribed in these rules for the review and investigation of written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report a license revocation, suspension or other disciplinary action taken by licensing authority of another state, territory or jurisdiction within 30 days of the final action by such licensing authority will constitute cause for initiation of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w:t>
      </w:r>
      <w:r>
        <w:rPr>
          <w:rFonts w:ascii="Times New Roman" w:hAnsi="Times New Roman"/>
          <w:b w:val="false"/>
          <w:i w:val="false"/>
          <w:color w:val="000000"/>
          <w:sz w:val="22"/>
        </w:rPr>
        <w:t> </w:t>
      </w:r>
      <w:r>
        <w:rPr>
          <w:rFonts w:ascii="Times New Roman" w:hAnsi="Times New Roman"/>
          <w:b w:val="false"/>
          <w:i/>
          <w:color w:val="000000"/>
          <w:sz w:val="22"/>
        </w:rPr>
        <w:t xml:space="preserve">Timely resolution of complaints. </w:t>
      </w:r>
      <w:r>
        <w:rPr>
          <w:rFonts w:ascii="Times New Roman" w:hAnsi="Times New Roman"/>
          <w:b w:val="false"/>
          <w:i w:val="false"/>
          <w:color w:val="000000"/>
          <w:sz w:val="22"/>
        </w:rPr>
        <w:t>Complaints filed with the board will be resolved within 180 days unless good cause can be shown for an extension of this limitation. The board will provide notice to the parties to a complaint prior to taking action to extend this time limitation upon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Confidentiality requirements are set forth in Iowa Code section </w:t>
      </w:r>
      <w:hyperlink r:id="rId22">
        <w:r>
          <w:rPr>
            <w:rStyle w:val="Hyperlink"/>
            <w:rFonts w:ascii="Times New Roman" w:hAnsi="Times New Roman"/>
            <w:b w:val="false"/>
            <w:i w:val="false"/>
            <w:color w:val="000000"/>
            <w:sz w:val="22"/>
          </w:rPr>
          <w:t>256.158.</w:t>
        </w:r>
      </w:hyperlink>
      <w:r>
        <w:rPr>
          <w:rFonts w:ascii="Times New Roman" w:hAnsi="Times New Roman"/>
          <w:b w:val="false"/>
          <w:i w:val="false"/>
          <w:color w:val="000000"/>
          <w:sz w:val="22"/>
        </w:rPr>
        <w:t xml:space="preserve"> Records related to written complaints will be collected and retained and will be evaluated if a similar complaint has been filed against the same licensed practitioner. A finding of probable cause, a final written decision, and a finding of fact by the board in a disciplinary proceeding constitute a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282—11.5</w:t>
      </w:r>
      <w:r>
        <w:rPr>
          <w:rFonts w:ascii="Times New Roman" w:hAnsi="Times New Roman"/>
          <w:b/>
          <w:i w:val="false"/>
          <w:color w:val="000000"/>
          <w:sz w:val="22"/>
        </w:rPr>
        <w:t xml:space="preserve">(256) </w:t>
      </w:r>
      <w:r>
        <w:rPr>
          <w:rFonts w:ascii="Times New Roman" w:hAnsi="Times New Roman"/>
          <w:b/>
          <w:i w:val="false"/>
          <w:color w:val="000000"/>
          <w:sz w:val="22"/>
        </w:rPr>
        <w:t xml:space="preserve">Investigation of complaints or license reports. </w:t>
      </w:r>
      <w:r>
        <w:rPr>
          <w:rFonts w:ascii="Times New Roman" w:hAnsi="Times New Roman"/>
          <w:b w:val="false"/>
          <w:i w:val="false"/>
          <w:color w:val="000000"/>
          <w:sz w:val="22"/>
        </w:rPr>
        <w:t xml:space="preserve">The chairperson of the board or the chairperson’s designee may request an investigator to investigate the complaint or report received by the board from another state, territory or other jurisdiction concerning license or certificate revocation or suspension pursuant to subrule </w:t>
      </w:r>
      <w:hyperlink r:id="rId23">
        <w:r>
          <w:rPr>
            <w:rStyle w:val="Hyperlink"/>
            <w:rFonts w:ascii="Times New Roman" w:hAnsi="Times New Roman"/>
            <w:b w:val="false"/>
            <w:i w:val="false"/>
            <w:color w:val="000000"/>
            <w:sz w:val="22"/>
          </w:rPr>
          <w:t>11.4(7)</w:t>
        </w:r>
      </w:hyperlink>
      <w:r>
        <w:rPr>
          <w:rFonts w:ascii="Times New Roman" w:hAnsi="Times New Roman"/>
          <w:b w:val="false"/>
          <w:i w:val="false"/>
          <w:color w:val="000000"/>
          <w:sz w:val="22"/>
        </w:rPr>
        <w:t>; providing that the jurisdictional requirements have been met on the face of the complaint. The investigation will be limited to the allegations contained on the face of the complaint. The investigator may consult an assistant attorney general concerning the investigation or evidence produced from the investigation. Upon completion of the investigation, the investigator will prepare a report of the investigation for consideration by the board in determining whether probable cause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282—11.6</w:t>
      </w:r>
      <w:r>
        <w:rPr>
          <w:rFonts w:ascii="Times New Roman" w:hAnsi="Times New Roman"/>
          <w:b/>
          <w:i w:val="false"/>
          <w:color w:val="000000"/>
          <w:sz w:val="22"/>
        </w:rPr>
        <w:t xml:space="preserve">(256) </w:t>
      </w:r>
      <w:r>
        <w:rPr>
          <w:rFonts w:ascii="Times New Roman" w:hAnsi="Times New Roman"/>
          <w:b/>
          <w:i w:val="false"/>
          <w:color w:val="000000"/>
          <w:sz w:val="22"/>
        </w:rPr>
        <w:t xml:space="preserve">Ruling on the initial inquiry. </w:t>
      </w:r>
      <w:r>
        <w:rPr>
          <w:rFonts w:ascii="Times New Roman" w:hAnsi="Times New Roman"/>
          <w:b w:val="false"/>
          <w:i w:val="false"/>
          <w:color w:val="000000"/>
          <w:sz w:val="22"/>
        </w:rPr>
        <w:t>Upon review of the investigator’s report, the board may take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Reject the case. If a determination is made by the board to reject the case, the complaint will be returned to the complainant along with a statement specifying the reasons for rejection. A letter of explanation concerning the decision of the board will be sent to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Require further inquiry. If determination is made by the board to order further inquiry, the complaint and recommendations by the investigator(s) will be returned to the investigator(s) along with a statement specifying the information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the case. If a determination is made by the board that probable cause exists to conclude that the criteria of professional practices or the criteria of competent performance have been violated, notice may be issued, pursuant to rule </w:t>
      </w:r>
      <w:hyperlink r:id="rId24">
        <w:r>
          <w:rPr>
            <w:rStyle w:val="Hyperlink"/>
            <w:rFonts w:ascii="Times New Roman" w:hAnsi="Times New Roman"/>
            <w:b w:val="false"/>
            <w:i w:val="false"/>
            <w:color w:val="000000"/>
            <w:sz w:val="22"/>
          </w:rPr>
          <w:t>282—11.7(17A,256)</w:t>
        </w:r>
      </w:hyperlink>
      <w:r>
        <w:rPr>
          <w:rFonts w:ascii="Times New Roman" w:hAnsi="Times New Roman"/>
          <w:b w:val="false"/>
          <w:i w:val="false"/>
          <w:color w:val="000000"/>
          <w:sz w:val="22"/>
        </w:rPr>
        <w:t xml:space="preserve">, and a formal hearing may be conducted in accordance with rules </w:t>
      </w:r>
      <w:hyperlink r:id="rId25">
        <w:r>
          <w:rPr>
            <w:rStyle w:val="Hyperlink"/>
            <w:rFonts w:ascii="Times New Roman" w:hAnsi="Times New Roman"/>
            <w:b w:val="false"/>
            <w:i w:val="false"/>
            <w:color w:val="000000"/>
            <w:sz w:val="22"/>
          </w:rPr>
          <w:t>282—11.7(17A,256)</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282—11.21(17A,256)</w:t>
        </w:r>
      </w:hyperlink>
      <w:r>
        <w:rPr>
          <w:rFonts w:ascii="Times New Roman" w:hAnsi="Times New Roman"/>
          <w:b w:val="false"/>
          <w:i w:val="false"/>
          <w:color w:val="000000"/>
          <w:sz w:val="22"/>
        </w:rPr>
        <w:t xml:space="preserve"> unless a voluntary waiver of hearing has been filed by the respondent pursuant to the provisions of subrule </w:t>
      </w:r>
      <w:hyperlink r:id="rId27">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In determining whether to issue a notice of hearing, the board may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alleged violation is of sufficient magnitude to warrant a hearing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there is sufficient evidence to support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alleged violation was an isolated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adequate steps have been taken at the local level to ensure similar behavior does not occur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Release the investigative report. If the board finds probable cause of a violation, the investigative report will be available to the respondent upon request. Information contained within the report is confidential and may be used only in connection with the disciplinary proceedings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282—11.7</w:t>
      </w:r>
      <w:r>
        <w:rPr>
          <w:rFonts w:ascii="Times New Roman" w:hAnsi="Times New Roman"/>
          <w:b/>
          <w:i w:val="false"/>
          <w:color w:val="000000"/>
          <w:sz w:val="22"/>
        </w:rPr>
        <w:t xml:space="preserve">(17A,256)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282—11.8</w:t>
      </w:r>
      <w:r>
        <w:rPr>
          <w:rFonts w:ascii="Times New Roman" w:hAnsi="Times New Roman"/>
          <w:b/>
          <w:i w:val="false"/>
          <w:color w:val="000000"/>
          <w:sz w:val="22"/>
        </w:rPr>
        <w:t xml:space="preserve">(17A,256)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282—11.9</w:t>
      </w:r>
      <w:r>
        <w:rPr>
          <w:rFonts w:ascii="Times New Roman" w:hAnsi="Times New Roman"/>
          <w:b/>
          <w:i w:val="false"/>
          <w:color w:val="000000"/>
          <w:sz w:val="22"/>
        </w:rPr>
        <w:t xml:space="preserve">(17A,256)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282—11.10</w:t>
      </w:r>
      <w:r>
        <w:rPr>
          <w:rFonts w:ascii="Times New Roman" w:hAnsi="Times New Roman"/>
          <w:b/>
          <w:i w:val="false"/>
          <w:color w:val="000000"/>
          <w:sz w:val="22"/>
        </w:rPr>
        <w:t xml:space="preserve">(17A,256) </w:t>
      </w:r>
      <w:r>
        <w:rPr>
          <w:rFonts w:ascii="Times New Roman" w:hAnsi="Times New Roman"/>
          <w:b/>
          <w:i w:val="false"/>
          <w:color w:val="000000"/>
          <w:sz w:val="22"/>
        </w:rPr>
        <w:t xml:space="preserve">Telephone or electronic proceedings.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282—11.11</w:t>
      </w:r>
      <w:r>
        <w:rPr>
          <w:rFonts w:ascii="Times New Roman" w:hAnsi="Times New Roman"/>
          <w:b/>
          <w:i w:val="false"/>
          <w:color w:val="000000"/>
          <w:sz w:val="22"/>
        </w:rPr>
        <w:t xml:space="preserve">(17A,256) </w:t>
      </w:r>
      <w:r>
        <w:rPr>
          <w:rFonts w:ascii="Times New Roman" w:hAnsi="Times New Roman"/>
          <w:b/>
          <w:i w:val="false"/>
          <w:color w:val="000000"/>
          <w:sz w:val="22"/>
        </w:rPr>
        <w:t xml:space="preserve">Disqualification.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282—11.12</w:t>
      </w:r>
      <w:r>
        <w:rPr>
          <w:rFonts w:ascii="Times New Roman" w:hAnsi="Times New Roman"/>
          <w:b/>
          <w:i w:val="false"/>
          <w:color w:val="000000"/>
          <w:sz w:val="22"/>
        </w:rPr>
        <w:t xml:space="preserve">(17A,256) </w:t>
      </w:r>
      <w:r>
        <w:rPr>
          <w:rFonts w:ascii="Times New Roman" w:hAnsi="Times New Roman"/>
          <w:b/>
          <w:i w:val="false"/>
          <w:color w:val="000000"/>
          <w:sz w:val="22"/>
        </w:rPr>
        <w:t xml:space="preserve">Consolidation—severance.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282—11.13</w:t>
      </w:r>
      <w:r>
        <w:rPr>
          <w:rFonts w:ascii="Times New Roman" w:hAnsi="Times New Roman"/>
          <w:b/>
          <w:i w:val="false"/>
          <w:color w:val="000000"/>
          <w:sz w:val="22"/>
        </w:rPr>
        <w:t xml:space="preserve">(17A,256) </w:t>
      </w:r>
      <w:r>
        <w:rPr>
          <w:rFonts w:ascii="Times New Roman" w:hAnsi="Times New Roman"/>
          <w:b/>
          <w:i w:val="false"/>
          <w:color w:val="000000"/>
          <w:sz w:val="22"/>
        </w:rPr>
        <w:t xml:space="preserve">Pleadings.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282—11.14</w:t>
      </w:r>
      <w:r>
        <w:rPr>
          <w:rFonts w:ascii="Times New Roman" w:hAnsi="Times New Roman"/>
          <w:b/>
          <w:i w:val="false"/>
          <w:color w:val="000000"/>
          <w:sz w:val="22"/>
        </w:rPr>
        <w:t xml:space="preserve">(17A,256) </w:t>
      </w:r>
      <w:r>
        <w:rPr>
          <w:rFonts w:ascii="Times New Roman" w:hAnsi="Times New Roman"/>
          <w:b/>
          <w:i w:val="false"/>
          <w:color w:val="000000"/>
          <w:sz w:val="22"/>
        </w:rPr>
        <w:t xml:space="preserve">Service and filing of pleadings and other papers.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282—11.15</w:t>
      </w:r>
      <w:r>
        <w:rPr>
          <w:rFonts w:ascii="Times New Roman" w:hAnsi="Times New Roman"/>
          <w:b/>
          <w:i w:val="false"/>
          <w:color w:val="000000"/>
          <w:sz w:val="22"/>
        </w:rPr>
        <w:t xml:space="preserve">(17A,256) </w:t>
      </w:r>
      <w:r>
        <w:rPr>
          <w:rFonts w:ascii="Times New Roman" w:hAnsi="Times New Roman"/>
          <w:b/>
          <w:i w:val="false"/>
          <w:color w:val="000000"/>
          <w:sz w:val="22"/>
        </w:rPr>
        <w:t xml:space="preserve">Discovery.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282—11.16</w:t>
      </w:r>
      <w:r>
        <w:rPr>
          <w:rFonts w:ascii="Times New Roman" w:hAnsi="Times New Roman"/>
          <w:b/>
          <w:i w:val="false"/>
          <w:color w:val="000000"/>
          <w:sz w:val="22"/>
        </w:rPr>
        <w:t xml:space="preserve">(17A,256) </w:t>
      </w:r>
      <w:r>
        <w:rPr>
          <w:rFonts w:ascii="Times New Roman" w:hAnsi="Times New Roman"/>
          <w:b/>
          <w:i w:val="false"/>
          <w:color w:val="000000"/>
          <w:sz w:val="22"/>
        </w:rPr>
        <w:t xml:space="preserve">Subpoenas.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282—11.17</w:t>
      </w:r>
      <w:r>
        <w:rPr>
          <w:rFonts w:ascii="Times New Roman" w:hAnsi="Times New Roman"/>
          <w:b/>
          <w:i w:val="false"/>
          <w:color w:val="000000"/>
          <w:sz w:val="22"/>
        </w:rPr>
        <w:t xml:space="preserve">(17A,256) </w:t>
      </w:r>
      <w:r>
        <w:rPr>
          <w:rFonts w:ascii="Times New Roman" w:hAnsi="Times New Roman"/>
          <w:b/>
          <w:i w:val="false"/>
          <w:color w:val="000000"/>
          <w:sz w:val="22"/>
        </w:rPr>
        <w:t xml:space="preserve">Motions.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282—11.18</w:t>
      </w:r>
      <w:r>
        <w:rPr>
          <w:rFonts w:ascii="Times New Roman" w:hAnsi="Times New Roman"/>
          <w:b/>
          <w:i w:val="false"/>
          <w:color w:val="000000"/>
          <w:sz w:val="22"/>
        </w:rPr>
        <w:t xml:space="preserve">(17A,256)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282—11.19</w:t>
      </w:r>
      <w:r>
        <w:rPr>
          <w:rFonts w:ascii="Times New Roman" w:hAnsi="Times New Roman"/>
          <w:b/>
          <w:i w:val="false"/>
          <w:color w:val="000000"/>
          <w:sz w:val="22"/>
        </w:rPr>
        <w:t xml:space="preserve">(17A,256) </w:t>
      </w:r>
      <w:r>
        <w:rPr>
          <w:rFonts w:ascii="Times New Roman" w:hAnsi="Times New Roman"/>
          <w:b/>
          <w:i w:val="false"/>
          <w:color w:val="000000"/>
          <w:sz w:val="22"/>
        </w:rPr>
        <w:t xml:space="preserve">Continuances.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282—11.20</w:t>
      </w:r>
      <w:r>
        <w:rPr>
          <w:rFonts w:ascii="Times New Roman" w:hAnsi="Times New Roman"/>
          <w:b/>
          <w:i w:val="false"/>
          <w:color w:val="000000"/>
          <w:sz w:val="22"/>
        </w:rPr>
        <w:t xml:space="preserve">(17A,256) </w:t>
      </w:r>
      <w:r>
        <w:rPr>
          <w:rFonts w:ascii="Times New Roman" w:hAnsi="Times New Roman"/>
          <w:b/>
          <w:i w:val="false"/>
          <w:color w:val="000000"/>
          <w:sz w:val="22"/>
        </w:rPr>
        <w:t xml:space="preserve">Intervention.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282—11.21</w:t>
      </w:r>
      <w:r>
        <w:rPr>
          <w:rFonts w:ascii="Times New Roman" w:hAnsi="Times New Roman"/>
          <w:b/>
          <w:i w:val="false"/>
          <w:color w:val="000000"/>
          <w:sz w:val="22"/>
        </w:rPr>
        <w:t xml:space="preserve">(17A,256)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282—11.22</w:t>
      </w:r>
      <w:r>
        <w:rPr>
          <w:rFonts w:ascii="Times New Roman" w:hAnsi="Times New Roman"/>
          <w:b/>
          <w:i w:val="false"/>
          <w:color w:val="000000"/>
          <w:sz w:val="22"/>
        </w:rPr>
        <w:t xml:space="preserve">(17A,256) </w:t>
      </w:r>
      <w:r>
        <w:rPr>
          <w:rFonts w:ascii="Times New Roman" w:hAnsi="Times New Roman"/>
          <w:b/>
          <w:i w:val="false"/>
          <w:color w:val="000000"/>
          <w:sz w:val="22"/>
        </w:rPr>
        <w:t xml:space="preserve">Evidence.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282—11.23</w:t>
      </w:r>
      <w:r>
        <w:rPr>
          <w:rFonts w:ascii="Times New Roman" w:hAnsi="Times New Roman"/>
          <w:b/>
          <w:i w:val="false"/>
          <w:color w:val="000000"/>
          <w:sz w:val="22"/>
        </w:rPr>
        <w:t xml:space="preserve">(17A,256) </w:t>
      </w:r>
      <w:r>
        <w:rPr>
          <w:rFonts w:ascii="Times New Roman" w:hAnsi="Times New Roman"/>
          <w:b/>
          <w:i w:val="false"/>
          <w:color w:val="000000"/>
          <w:sz w:val="22"/>
        </w:rPr>
        <w:t xml:space="preserve">Default.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282—11.24</w:t>
      </w:r>
      <w:r>
        <w:rPr>
          <w:rFonts w:ascii="Times New Roman" w:hAnsi="Times New Roman"/>
          <w:b/>
          <w:i w:val="false"/>
          <w:color w:val="000000"/>
          <w:sz w:val="22"/>
        </w:rPr>
        <w:t xml:space="preserve">(17A,256) </w:t>
      </w:r>
      <w:r>
        <w:rPr>
          <w:rFonts w:ascii="Times New Roman" w:hAnsi="Times New Roman"/>
          <w:b/>
          <w:i w:val="false"/>
          <w:color w:val="000000"/>
          <w:sz w:val="22"/>
        </w:rPr>
        <w:t xml:space="preserve">Ex parte communication.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282—11.25</w:t>
      </w:r>
      <w:r>
        <w:rPr>
          <w:rFonts w:ascii="Times New Roman" w:hAnsi="Times New Roman"/>
          <w:b/>
          <w:i w:val="false"/>
          <w:color w:val="000000"/>
          <w:sz w:val="22"/>
        </w:rPr>
        <w:t xml:space="preserve">(17A,256)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282—11.26</w:t>
      </w:r>
      <w:r>
        <w:rPr>
          <w:rFonts w:ascii="Times New Roman" w:hAnsi="Times New Roman"/>
          <w:b/>
          <w:i w:val="false"/>
          <w:color w:val="000000"/>
          <w:sz w:val="22"/>
        </w:rPr>
        <w:t xml:space="preserve">(17A,256)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282—11.27</w:t>
      </w:r>
      <w:r>
        <w:rPr>
          <w:rFonts w:ascii="Times New Roman" w:hAnsi="Times New Roman"/>
          <w:b/>
          <w:i w:val="false"/>
          <w:color w:val="000000"/>
          <w:sz w:val="22"/>
        </w:rPr>
        <w:t xml:space="preserve">(17A,256) </w:t>
      </w:r>
      <w:r>
        <w:rPr>
          <w:rFonts w:ascii="Times New Roman" w:hAnsi="Times New Roman"/>
          <w:b/>
          <w:i w:val="false"/>
          <w:color w:val="000000"/>
          <w:sz w:val="22"/>
        </w:rPr>
        <w:t xml:space="preserve">Final decision.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282—11.28</w:t>
      </w:r>
      <w:r>
        <w:rPr>
          <w:rFonts w:ascii="Times New Roman" w:hAnsi="Times New Roman"/>
          <w:b/>
          <w:i w:val="false"/>
          <w:color w:val="000000"/>
          <w:sz w:val="22"/>
        </w:rPr>
        <w:t xml:space="preserve">(17A,256) </w:t>
      </w:r>
      <w:r>
        <w:rPr>
          <w:rFonts w:ascii="Times New Roman" w:hAnsi="Times New Roman"/>
          <w:b/>
          <w:i w:val="false"/>
          <w:color w:val="000000"/>
          <w:sz w:val="22"/>
        </w:rPr>
        <w:t xml:space="preserve">Appeals and review.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282—11.29</w:t>
      </w:r>
      <w:r>
        <w:rPr>
          <w:rFonts w:ascii="Times New Roman" w:hAnsi="Times New Roman"/>
          <w:b/>
          <w:i w:val="false"/>
          <w:color w:val="000000"/>
          <w:sz w:val="22"/>
        </w:rPr>
        <w:t xml:space="preserve">(17A,256) </w:t>
      </w:r>
      <w:r>
        <w:rPr>
          <w:rFonts w:ascii="Times New Roman" w:hAnsi="Times New Roman"/>
          <w:b/>
          <w:i w:val="false"/>
          <w:color w:val="000000"/>
          <w:sz w:val="22"/>
        </w:rPr>
        <w:t xml:space="preserve">Applications for rehearing.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282—11.30</w:t>
      </w:r>
      <w:r>
        <w:rPr>
          <w:rFonts w:ascii="Times New Roman" w:hAnsi="Times New Roman"/>
          <w:b/>
          <w:i w:val="false"/>
          <w:color w:val="000000"/>
          <w:sz w:val="22"/>
        </w:rPr>
        <w:t xml:space="preserve">(17A,256) </w:t>
      </w:r>
      <w:r>
        <w:rPr>
          <w:rFonts w:ascii="Times New Roman" w:hAnsi="Times New Roman"/>
          <w:b/>
          <w:i w:val="false"/>
          <w:color w:val="000000"/>
          <w:sz w:val="22"/>
        </w:rPr>
        <w:t xml:space="preserve">Stays of board actions.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282—11.31</w:t>
      </w:r>
      <w:r>
        <w:rPr>
          <w:rFonts w:ascii="Times New Roman" w:hAnsi="Times New Roman"/>
          <w:b/>
          <w:i w:val="false"/>
          <w:color w:val="000000"/>
          <w:sz w:val="22"/>
        </w:rPr>
        <w:t xml:space="preserve">(17A,256)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282—11.32</w:t>
      </w:r>
      <w:r>
        <w:rPr>
          <w:rFonts w:ascii="Times New Roman" w:hAnsi="Times New Roman"/>
          <w:b/>
          <w:i w:val="false"/>
          <w:color w:val="000000"/>
          <w:sz w:val="22"/>
        </w:rPr>
        <w:t xml:space="preserve">(17A,256) </w:t>
      </w:r>
      <w:r>
        <w:rPr>
          <w:rFonts w:ascii="Times New Roman" w:hAnsi="Times New Roman"/>
          <w:b/>
          <w:i w:val="false"/>
          <w:color w:val="000000"/>
          <w:sz w:val="22"/>
        </w:rPr>
        <w:t xml:space="preserve">Emergency adjudicative proceedings.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282—11.33</w:t>
      </w:r>
      <w:r>
        <w:rPr>
          <w:rFonts w:ascii="Times New Roman" w:hAnsi="Times New Roman"/>
          <w:b/>
          <w:i w:val="false"/>
          <w:color w:val="000000"/>
          <w:sz w:val="22"/>
        </w:rPr>
        <w:t xml:space="preserve">(256) </w:t>
      </w:r>
      <w:r>
        <w:rPr>
          <w:rFonts w:ascii="Times New Roman" w:hAnsi="Times New Roman"/>
          <w:b/>
          <w:i w:val="false"/>
          <w:color w:val="000000"/>
          <w:sz w:val="22"/>
        </w:rPr>
        <w:t xml:space="preserve">Methods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Revoke a practitioner’s license, certificate or authorization.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 a practitioner’s license, certificate or authorization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a practitioner from engaging in specified practices,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Issue a public letter of reprimand.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Order any other resolution appropriate to the circumstances of the case.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Impose fees as provided in Iowa Code section </w:t>
      </w:r>
      <w:hyperlink r:id="rId28">
        <w:r>
          <w:rPr>
            <w:rStyle w:val="Hyperlink"/>
            <w:rFonts w:ascii="Times New Roman" w:hAnsi="Times New Roman"/>
            <w:b w:val="false"/>
            <w:i w:val="false"/>
            <w:color w:val="000000"/>
            <w:sz w:val="22"/>
          </w:rPr>
          <w:t>256.146(22).</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282—11.34</w:t>
      </w:r>
      <w:r>
        <w:rPr>
          <w:rFonts w:ascii="Times New Roman" w:hAnsi="Times New Roman"/>
          <w:b/>
          <w:i w:val="false"/>
          <w:color w:val="000000"/>
          <w:sz w:val="22"/>
        </w:rPr>
        <w:t xml:space="preserve">(256)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license, certificate or authorization to practice has been suspended may apply to the board for reinstatement in accordance with the terms and conditions of the order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Such application will be docketed in the original case in which the license, certificate or authorization was suspended.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will allege facts that, if established, will be sufficient to enable the board to determine that the basis for the suspension of the respondent’s license, certificate or authorization no longer exists and that it will be in the public interest for the license, certificate or authorization to be reinstated. The burden of proof to establish such facts will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11.34(3)</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reinstatement will be based upon a decision that incorporates findings of fact and conclusions of law. The board may grant reinstatement with or without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282—11.35</w:t>
      </w:r>
      <w:r>
        <w:rPr>
          <w:rFonts w:ascii="Times New Roman" w:hAnsi="Times New Roman"/>
          <w:b/>
          <w:i w:val="false"/>
          <w:color w:val="000000"/>
          <w:sz w:val="22"/>
        </w:rPr>
        <w:t xml:space="preserve">(256) </w:t>
      </w:r>
      <w:r>
        <w:rPr>
          <w:rFonts w:ascii="Times New Roman" w:hAnsi="Times New Roman"/>
          <w:b/>
          <w:i w:val="false"/>
          <w:color w:val="000000"/>
          <w:sz w:val="22"/>
        </w:rPr>
        <w:t xml:space="preserve">Application denial and appeal. </w:t>
      </w:r>
      <w:r>
        <w:rPr>
          <w:rFonts w:ascii="Times New Roman" w:hAnsi="Times New Roman"/>
          <w:b w:val="false"/>
          <w:i w:val="false"/>
          <w:color w:val="000000"/>
          <w:sz w:val="22"/>
        </w:rPr>
        <w:t xml:space="preserve">The executive director is authorized by Iowa Code section </w:t>
      </w:r>
      <w:hyperlink r:id="rId29">
        <w:r>
          <w:rPr>
            <w:rStyle w:val="Hyperlink"/>
            <w:rFonts w:ascii="Times New Roman" w:hAnsi="Times New Roman"/>
            <w:b w:val="false"/>
            <w:i w:val="false"/>
            <w:color w:val="000000"/>
            <w:sz w:val="22"/>
          </w:rPr>
          <w:t>256.151</w:t>
        </w:r>
      </w:hyperlink>
      <w:r>
        <w:rPr>
          <w:rFonts w:ascii="Times New Roman" w:hAnsi="Times New Roman"/>
          <w:b w:val="false"/>
          <w:i w:val="false"/>
          <w:color w:val="000000"/>
          <w:sz w:val="22"/>
        </w:rPr>
        <w:t xml:space="preserve"> to grant or deny applications for licensure. If the executive director denies an application for a license, certificate, or authorization, the executive director will send to the applicant by regular first-class mail written notice identifying the factual and legal basis for denying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Mandatory grounds for license denial. </w:t>
      </w:r>
      <w:r>
        <w:rPr>
          <w:rFonts w:ascii="Times New Roman" w:hAnsi="Times New Roman"/>
          <w:b w:val="false"/>
          <w:i w:val="false"/>
          <w:color w:val="000000"/>
          <w:sz w:val="22"/>
        </w:rPr>
        <w:t xml:space="preserve">The executive director will deny an application based on the grounds set forth in Iowa Code section </w:t>
      </w:r>
      <w:hyperlink r:id="rId30">
        <w:r>
          <w:rPr>
            <w:rStyle w:val="Hyperlink"/>
            <w:rFonts w:ascii="Times New Roman" w:hAnsi="Times New Roman"/>
            <w:b w:val="false"/>
            <w:i w:val="false"/>
            <w:color w:val="000000"/>
            <w:sz w:val="22"/>
          </w:rPr>
          <w:t>256.146(13)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and founded child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Disqualifying criminal convictions. </w:t>
      </w:r>
      <w:r>
        <w:rPr>
          <w:rFonts w:ascii="Times New Roman" w:hAnsi="Times New Roman"/>
          <w:b w:val="false"/>
          <w:i w:val="false"/>
          <w:color w:val="000000"/>
          <w:sz w:val="22"/>
        </w:rPr>
        <w:t xml:space="preserve">The board shall deny an application for licensure pursuant to Iowa Code section </w:t>
      </w:r>
      <w:hyperlink r:id="rId31">
        <w:r>
          <w:rPr>
            <w:rStyle w:val="Hyperlink"/>
            <w:rFonts w:ascii="Times New Roman" w:hAnsi="Times New Roman"/>
            <w:b w:val="false"/>
            <w:i w:val="false"/>
            <w:color w:val="000000"/>
            <w:sz w:val="22"/>
          </w:rPr>
          <w:t>256.146(13),</w:t>
        </w:r>
      </w:hyperlink>
      <w:r>
        <w:rPr>
          <w:rFonts w:ascii="Times New Roman" w:hAnsi="Times New Roman"/>
          <w:b w:val="false"/>
          <w:i w:val="false"/>
          <w:color w:val="000000"/>
          <w:sz w:val="22"/>
        </w:rPr>
        <w:t xml:space="preserve"> regardless of whether the judgment of conviction or sentence was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criminal convictions and founded child abuse. </w:t>
      </w:r>
      <w:r>
        <w:rPr>
          <w:rFonts w:ascii="Times New Roman" w:hAnsi="Times New Roman"/>
          <w:b w:val="false"/>
          <w:i w:val="false"/>
          <w:color w:val="000000"/>
          <w:sz w:val="22"/>
        </w:rPr>
        <w:t>When determining whether a person should be denied licensure based on the conviction of any other crime, including a felony, or a founded report of child abuse, the executive director and the board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 that has taken place since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same crime or abuse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criminal convictions or founded abuses committed;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Such additional factors as may in a particular case demonstrate mitigating circumstances or heightened risk to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Speech and intellectual freedom protections. </w:t>
      </w:r>
      <w:r>
        <w:rPr>
          <w:rFonts w:ascii="Times New Roman" w:hAnsi="Times New Roman"/>
          <w:b w:val="false"/>
          <w:i w:val="false"/>
          <w:color w:val="000000"/>
          <w:sz w:val="22"/>
        </w:rPr>
        <w:t xml:space="preserve">The board may deny a license to or revoke the license of a person upon the board’s finding by a preponderance of evidence that the person knowingly and intentionally discriminated against a student in violation of Iowa Code section </w:t>
      </w:r>
      <w:hyperlink r:id="rId32">
        <w:r>
          <w:rPr>
            <w:rStyle w:val="Hyperlink"/>
            <w:rFonts w:ascii="Times New Roman" w:hAnsi="Times New Roman"/>
            <w:b w:val="false"/>
            <w:i w:val="false"/>
            <w:color w:val="000000"/>
            <w:sz w:val="22"/>
          </w:rPr>
          <w:t>261H.2(3) </w:t>
        </w:r>
      </w:hyperlink>
      <w:r>
        <w:rPr>
          <w:rFonts w:ascii="Times New Roman" w:hAnsi="Times New Roman"/>
          <w:b w:val="false"/>
          <w:i w:val="false"/>
          <w:color w:val="000000"/>
          <w:sz w:val="22"/>
        </w:rPr>
        <w:t xml:space="preserve">or </w:t>
      </w:r>
      <w:hyperlink r:id="rId33">
        <w:r>
          <w:rPr>
            <w:rStyle w:val="Hyperlink"/>
            <w:rFonts w:ascii="Times New Roman" w:hAnsi="Times New Roman"/>
            <w:b w:val="false"/>
            <w:i w:val="false"/>
            <w:color w:val="000000"/>
            <w:sz w:val="22"/>
          </w:rPr>
          <w:t>279.73.</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11.35(4)</w:t>
      </w:r>
      <w:r>
        <w:rPr>
          <w:rFonts w:ascii="Times New Roman" w:hAnsi="Times New Roman"/>
          <w:b w:val="false"/>
          <w:i w:val="false"/>
          <w:color w:val="000000"/>
          <w:sz w:val="22"/>
        </w:rPr>
        <w:t> </w:t>
      </w:r>
      <w:r>
        <w:rPr>
          <w:rFonts w:ascii="Times New Roman" w:hAnsi="Times New Roman"/>
          <w:b w:val="false"/>
          <w:i/>
          <w:color w:val="000000"/>
          <w:sz w:val="22"/>
        </w:rPr>
        <w:t xml:space="preserve">Fraudulent applications. </w:t>
      </w:r>
      <w:r>
        <w:rPr>
          <w:rFonts w:ascii="Times New Roman" w:hAnsi="Times New Roman"/>
          <w:b w:val="false"/>
          <w:i w:val="false"/>
          <w:color w:val="000000"/>
          <w:sz w:val="22"/>
        </w:rPr>
        <w:t xml:space="preserve">An application will be considered fraudulent pursuant to Iowa Code section </w:t>
      </w:r>
      <w:hyperlink r:id="rId34">
        <w:r>
          <w:rPr>
            <w:rStyle w:val="Hyperlink"/>
            <w:rFonts w:ascii="Times New Roman" w:hAnsi="Times New Roman"/>
            <w:b w:val="false"/>
            <w:i w:val="false"/>
            <w:color w:val="000000"/>
            <w:sz w:val="22"/>
          </w:rPr>
          <w:t>256.146(13)</w:t>
        </w:r>
      </w:hyperlink>
      <w:r>
        <w:rPr>
          <w:rFonts w:ascii="Times New Roman" w:hAnsi="Times New Roman"/>
          <w:b w:val="false"/>
          <w:i/>
          <w:color w:val="000000"/>
          <w:sz w:val="22"/>
        </w:rPr>
        <w:t>“b”</w:t>
      </w:r>
      <w:r>
        <w:rPr>
          <w:rFonts w:ascii="Times New Roman" w:hAnsi="Times New Roman"/>
          <w:b w:val="false"/>
          <w:i w:val="false"/>
          <w:color w:val="000000"/>
          <w:sz w:val="22"/>
        </w:rPr>
        <w:t xml:space="preserve">(2) if it contains any false representation of a material fact or any omission of a material fact that should have been disclosed at the time of application for licensure or is submitted with a false or forged diploma, certificate, affidavit, identification, or other document material to the applicant’s qualification for licensure or material to any of the grounds for denial set forth in Iowa Code section </w:t>
      </w:r>
      <w:hyperlink r:id="rId35">
        <w:r>
          <w:rPr>
            <w:rStyle w:val="Hyperlink"/>
            <w:rFonts w:ascii="Times New Roman" w:hAnsi="Times New Roman"/>
            <w:b w:val="false"/>
            <w:i w:val="false"/>
            <w:color w:val="000000"/>
            <w:sz w:val="22"/>
          </w:rPr>
          <w:t>256.146(13)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11.35(5)</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denial of an application for licensure and who desires to challenge the decision of the executive director must appeal the decision and request a hearing before the board within 30 calendar days of the date the notice of license denial is mailed. An appeal and request for hearing must be in writing and is deemed made on the date of the United States Postal Service nonmetered postmark or the date of personal service to the board office. The request for hearing will specify the factual or legal errors the applicant contends were made by the executive director, must identify any factual disputes upon which the applicant desires an evidentiary hearing, and may provide additional written information or documents in support of licensure. If a request for hearing is timely made, the executive director will promptly issue a notice of contested case hearing on the grounds asserted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in its discretion, may act as presiding officer at the contested case hearing, may hold the hearing before a panel of three board members, or may request that an administrative law judge act as presiding officer. The applicant may request that an administrative law judge act as presiding officer and render a proposed decision pursuant to rule </w:t>
      </w:r>
      <w:hyperlink r:id="rId36">
        <w:r>
          <w:rPr>
            <w:rStyle w:val="Hyperlink"/>
            <w:rFonts w:ascii="Times New Roman" w:hAnsi="Times New Roman"/>
            <w:b w:val="false"/>
            <w:i w:val="false"/>
            <w:color w:val="000000"/>
            <w:sz w:val="22"/>
          </w:rPr>
          <w:t>282—11.8(17A,256)</w:t>
        </w:r>
      </w:hyperlink>
      <w:r>
        <w:rPr>
          <w:rFonts w:ascii="Times New Roman" w:hAnsi="Times New Roman"/>
          <w:b w:val="false"/>
          <w:i w:val="false"/>
          <w:color w:val="000000"/>
          <w:sz w:val="22"/>
        </w:rPr>
        <w:t xml:space="preserve">. A proposed decision by a panel of board members or an administrative law judge is subject to appeal or review by the board pursuant to rule </w:t>
      </w:r>
      <w:hyperlink r:id="rId37">
        <w:r>
          <w:rPr>
            <w:rStyle w:val="Hyperlink"/>
            <w:rFonts w:ascii="Times New Roman" w:hAnsi="Times New Roman"/>
            <w:b w:val="false"/>
            <w:i w:val="false"/>
            <w:color w:val="000000"/>
            <w:sz w:val="22"/>
          </w:rPr>
          <w:t>282—11.28(17A,256)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Hearings concerning licensure denial will be conducted according to the contested case procedural rules in this chapter. Evidence supporting the denial of the license may be presented by an assistant attorney general. While each party will have the burden of establishing the affirmative of matters asserted, the applicant will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appeal, the board may grant or deny the application for licensure. If the application for licensure is denied, the board will state the reason or reasons for the denial and may state conditions under which the application could be granted,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11.35(6)</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a final order of the board denying licensure may be sought in accordance with the provisions of Iowa Code section </w:t>
      </w:r>
      <w:hyperlink r:id="rId3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 agency’s final decision in a contested case. In order to exhaust administrative remedies, an applicant aggrieved by the executive director’s denial of an application for licensure must timely appeal the adverse decision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282—11.36</w:t>
      </w:r>
      <w:r>
        <w:rPr>
          <w:rFonts w:ascii="Times New Roman" w:hAnsi="Times New Roman"/>
          <w:b/>
          <w:i w:val="false"/>
          <w:color w:val="000000"/>
          <w:sz w:val="22"/>
        </w:rPr>
        <w:t xml:space="preserve">(256) </w:t>
      </w:r>
      <w:r>
        <w:rPr>
          <w:rFonts w:ascii="Times New Roman" w:hAnsi="Times New Roman"/>
          <w:b/>
          <w:i w:val="false"/>
          <w:color w:val="000000"/>
          <w:sz w:val="22"/>
        </w:rPr>
        <w:t xml:space="preserve">Denial of renewal application. </w:t>
      </w:r>
      <w:r>
        <w:rPr>
          <w:rFonts w:ascii="Times New Roman" w:hAnsi="Times New Roman"/>
          <w:b w:val="false"/>
          <w:i w:val="false"/>
          <w:color w:val="000000"/>
          <w:sz w:val="22"/>
        </w:rPr>
        <w:t xml:space="preserve">If the executive director denies an application to renew a license, certificate or authorization, a notice of hearing will be issued to commence a contested case proceeding. The executive director may deny a renewal application on the same grounds as those that apply to an application for licensure described in subrules </w:t>
      </w:r>
      <w:hyperlink r:id="rId39">
        <w:r>
          <w:rPr>
            <w:rStyle w:val="Hyperlink"/>
            <w:rFonts w:ascii="Times New Roman" w:hAnsi="Times New Roman"/>
            <w:b w:val="false"/>
            <w:i w:val="false"/>
            <w:color w:val="000000"/>
            <w:sz w:val="22"/>
          </w:rPr>
          <w:t>11.35(1) through 11.35(4)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11.36(1)</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 </w:t>
      </w:r>
      <w:r>
        <w:rPr>
          <w:rFonts w:ascii="Times New Roman" w:hAnsi="Times New Roman"/>
          <w:b w:val="false"/>
          <w:i w:val="false"/>
          <w:color w:val="000000"/>
          <w:sz w:val="22"/>
        </w:rPr>
        <w:t>Hearings on denial of an application to renew a license will be conducted according to the contested case procedural rules in this chapter. Evidence supporting the denial of the license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11.36(2)</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a final order of the board denying renewal of licensure may be sought in accordance with the provisions of Iowa Code section </w:t>
      </w:r>
      <w:hyperlink r:id="rId4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11.36(3)</w:t>
      </w:r>
      <w:r>
        <w:rPr>
          <w:rFonts w:ascii="Times New Roman" w:hAnsi="Times New Roman"/>
          <w:b w:val="false"/>
          <w:i w:val="false"/>
          <w:color w:val="000000"/>
          <w:sz w:val="22"/>
        </w:rPr>
        <w:t> </w:t>
      </w:r>
      <w:r>
        <w:rPr>
          <w:rFonts w:ascii="Times New Roman" w:hAnsi="Times New Roman"/>
          <w:b w:val="false"/>
          <w:i/>
          <w:color w:val="000000"/>
          <w:sz w:val="22"/>
        </w:rPr>
        <w:t xml:space="preserve">Impact of denial of renewal application. </w:t>
      </w:r>
      <w:r>
        <w:rPr>
          <w:rFonts w:ascii="Times New Roman" w:hAnsi="Times New Roman"/>
          <w:b w:val="false"/>
          <w:i w:val="false"/>
          <w:color w:val="000000"/>
          <w:sz w:val="22"/>
        </w:rPr>
        <w:t xml:space="preserve">Pursuant to Iowa Code section </w:t>
      </w:r>
      <w:hyperlink r:id="rId41">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if the licensee has made timely and sufficient application for renewal, an existing license will not expire until the last day for seeking judicial review of the board’s final order denying the application or a later date fixed by order of the board or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11.36(4)</w:t>
      </w:r>
      <w:r>
        <w:rPr>
          <w:rFonts w:ascii="Times New Roman" w:hAnsi="Times New Roman"/>
          <w:b w:val="false"/>
          <w:i w:val="false"/>
          <w:color w:val="000000"/>
          <w:sz w:val="22"/>
        </w:rPr>
        <w:t> </w:t>
      </w:r>
      <w:r>
        <w:rPr>
          <w:rFonts w:ascii="Times New Roman" w:hAnsi="Times New Roman"/>
          <w:b w:val="false"/>
          <w:i/>
          <w:color w:val="000000"/>
          <w:sz w:val="22"/>
        </w:rPr>
        <w:t xml:space="preserve">Timeliness of renewal application. </w:t>
      </w:r>
      <w:r>
        <w:rPr>
          <w:rFonts w:ascii="Times New Roman" w:hAnsi="Times New Roman"/>
          <w:b w:val="false"/>
          <w:i w:val="false"/>
          <w:color w:val="000000"/>
          <w:sz w:val="22"/>
        </w:rPr>
        <w:t xml:space="preserve">Within the meaning of Iowa Code section </w:t>
      </w:r>
      <w:hyperlink r:id="rId42">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by the licensee and certified as accurate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by the proper fee. The fee will be deemed improper if the amount is incorrect, the fee was not included with the application, or the licensee’s check is unsigned or returned for insufficient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282—11.37</w:t>
      </w:r>
      <w:r>
        <w:rPr>
          <w:rFonts w:ascii="Times New Roman" w:hAnsi="Times New Roman"/>
          <w:b/>
          <w:i w:val="false"/>
          <w:color w:val="000000"/>
          <w:sz w:val="22"/>
        </w:rPr>
        <w:t xml:space="preserve">(256) </w:t>
      </w:r>
      <w:r>
        <w:rPr>
          <w:rFonts w:ascii="Times New Roman" w:hAnsi="Times New Roman"/>
          <w:b/>
          <w:i w:val="false"/>
          <w:color w:val="000000"/>
          <w:sz w:val="22"/>
        </w:rPr>
        <w:t xml:space="preserve">Required reports. </w:t>
      </w:r>
      <w:r>
        <w:rPr>
          <w:rFonts w:ascii="Times New Roman" w:hAnsi="Times New Roman"/>
          <w:b w:val="false"/>
          <w:i w:val="false"/>
          <w:color w:val="000000"/>
          <w:sz w:val="22"/>
        </w:rPr>
        <w:t xml:space="preserve">Reports are required to be made pursuant to Iowa Code sections </w:t>
      </w:r>
      <w:hyperlink r:id="rId43">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256.160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279.73.</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282—11.38</w:t>
      </w:r>
      <w:r>
        <w:rPr>
          <w:rFonts w:ascii="Times New Roman" w:hAnsi="Times New Roman"/>
          <w:b/>
          <w:i w:val="false"/>
          <w:color w:val="000000"/>
          <w:sz w:val="22"/>
        </w:rPr>
        <w:t xml:space="preserve">(256) </w:t>
      </w:r>
      <w:r>
        <w:rPr>
          <w:rFonts w:ascii="Times New Roman" w:hAnsi="Times New Roman"/>
          <w:b/>
          <w:i w:val="false"/>
          <w:color w:val="000000"/>
          <w:sz w:val="22"/>
        </w:rPr>
        <w:t xml:space="preserve">Denial of application during a pending professional practices case. </w:t>
      </w:r>
      <w:r>
        <w:rPr>
          <w:rFonts w:ascii="Times New Roman" w:hAnsi="Times New Roman"/>
          <w:b w:val="false"/>
          <w:i w:val="false"/>
          <w:color w:val="000000"/>
          <w:sz w:val="22"/>
        </w:rPr>
        <w:t>The executive director may deny an application for a license, authorization, certificate, or statement of recognition if the applicant is currently under investigation and probable cause has been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7/12/73; amendment filed 10/6/75—published 10/20/75, effective 11/24/75]</w:t>
      </w:r>
    </w:p>
    <w:p>
      <w:pPr>
        <w:spacing w:before="0" w:after="0"/>
        <w:ind w:left="120"/>
        <w:jc w:val="center"/>
      </w:pPr>
      <w:r>
        <w:rPr>
          <w:rFonts w:ascii="Times New Roman" w:hAnsi="Times New Roman"/>
          <w:b w:val="false"/>
          <w:i w:val="false"/>
          <w:color w:val="000000"/>
          <w:sz w:val="21"/>
        </w:rPr>
        <w:t>[Filed emergency 4/2/86—published 4/23/86, effective 4/23/86]</w:t>
      </w:r>
    </w:p>
    <w:p>
      <w:pPr>
        <w:spacing w:before="0" w:after="0"/>
        <w:ind w:left="120"/>
        <w:jc w:val="center"/>
      </w:pPr>
      <w:r>
        <w:rPr>
          <w:rFonts w:ascii="Times New Roman" w:hAnsi="Times New Roman"/>
          <w:b w:val="false"/>
          <w:i w:val="false"/>
          <w:color w:val="000000"/>
          <w:sz w:val="21"/>
        </w:rPr>
        <w:t>[Filed emergency 5/25/88—published 6/15/88, effective 5/25/88]</w:t>
      </w:r>
    </w:p>
    <w:p>
      <w:pPr>
        <w:spacing w:before="0" w:after="0"/>
        <w:ind w:left="120"/>
        <w:jc w:val="center"/>
      </w:pPr>
      <w:r>
        <w:rPr>
          <w:rFonts w:ascii="Times New Roman" w:hAnsi="Times New Roman"/>
          <w:b w:val="false"/>
          <w:i w:val="false"/>
          <w:color w:val="000000"/>
          <w:sz w:val="21"/>
        </w:rPr>
        <w:t>[Filed emergency 4/26/90—published 5/16/90, effective 4/27/90]</w:t>
      </w:r>
    </w:p>
    <w:p>
      <w:pPr>
        <w:spacing w:before="0" w:after="0"/>
        <w:ind w:left="120"/>
        <w:jc w:val="center"/>
      </w:pPr>
      <w:r>
        <w:rPr>
          <w:rFonts w:ascii="Times New Roman" w:hAnsi="Times New Roman"/>
          <w:b w:val="false"/>
          <w:i w:val="false"/>
          <w:color w:val="000000"/>
          <w:sz w:val="21"/>
        </w:rPr>
        <w:t>[Filed 5/20/92, Notice 2/19/92—published 6/10/92, effective 7/15/92]</w:t>
      </w:r>
    </w:p>
    <w:p>
      <w:pPr>
        <w:spacing w:before="0" w:after="0"/>
        <w:ind w:left="120"/>
        <w:jc w:val="center"/>
      </w:pPr>
      <w:r>
        <w:rPr>
          <w:rFonts w:ascii="Times New Roman" w:hAnsi="Times New Roman"/>
          <w:b w:val="false"/>
          <w:i w:val="false"/>
          <w:color w:val="000000"/>
          <w:sz w:val="21"/>
        </w:rPr>
        <w:t>[Filed 1/12/96, Notice 10/25/95—published 1/31/96, effective 3/6/96]</w:t>
      </w:r>
    </w:p>
    <w:p>
      <w:pPr>
        <w:spacing w:before="0" w:after="0"/>
        <w:ind w:left="120"/>
        <w:jc w:val="center"/>
      </w:pPr>
      <w:r>
        <w:rPr>
          <w:rFonts w:ascii="Times New Roman" w:hAnsi="Times New Roman"/>
          <w:b w:val="false"/>
          <w:i w:val="false"/>
          <w:color w:val="000000"/>
          <w:sz w:val="21"/>
        </w:rPr>
        <w:t>[Filed 1/21/00, Notice 10/6/99—published 2/9/00, effective 3/15/00]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3/16/01, Notice 1/10/01—published 4/4/01, effective 5/9/01]</w:t>
      </w:r>
    </w:p>
    <w:p>
      <w:pPr>
        <w:spacing w:before="0" w:after="0"/>
        <w:ind w:left="120"/>
        <w:jc w:val="center"/>
      </w:pPr>
      <w:r>
        <w:rPr>
          <w:rFonts w:ascii="Times New Roman" w:hAnsi="Times New Roman"/>
          <w:b w:val="false"/>
          <w:i w:val="false"/>
          <w:color w:val="000000"/>
          <w:sz w:val="21"/>
        </w:rPr>
        <w:t>[Filed 11/21/01, Notice 8/8/01—published 12/12/01, effective 1/16/02]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5/23/03, Notice 12/11/02—published 6/11/03, effective 7/16/03]</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7/7/03, Notice 4/16/03—published 7/23/03, effective 8/27/03]</w:t>
      </w:r>
    </w:p>
    <w:p>
      <w:pPr>
        <w:spacing w:before="0" w:after="0"/>
        <w:ind w:left="120"/>
        <w:jc w:val="center"/>
      </w:pPr>
      <w:r>
        <w:rPr>
          <w:rFonts w:ascii="Times New Roman" w:hAnsi="Times New Roman"/>
          <w:b w:val="false"/>
          <w:i w:val="false"/>
          <w:color w:val="000000"/>
          <w:sz w:val="21"/>
        </w:rPr>
        <w:t>[Filed 1/30/04, Notice 11/12/03—published 2/18/04, effective 3/24/04]</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11/14/07, Notice 9/12/07—published 12/5/07, effective 1/9/08]</w:t>
      </w:r>
    </w:p>
    <w:p>
      <w:pPr>
        <w:spacing w:before="0" w:after="0"/>
        <w:ind w:left="120"/>
        <w:jc w:val="center"/>
      </w:pPr>
      <w:r>
        <w:rPr>
          <w:rFonts w:ascii="Times New Roman" w:hAnsi="Times New Roman"/>
          <w:b w:val="false"/>
          <w:i w:val="false"/>
          <w:color w:val="000000"/>
          <w:sz w:val="21"/>
        </w:rPr>
        <w:t>[Filed 2/13/08, Notice 11/7/07—published 3/12/08, effective 4/16/08]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8406B</w:t>
      </w:r>
      <w:r>
        <w:rPr>
          <w:rFonts w:ascii="Times New Roman" w:hAnsi="Times New Roman"/>
          <w:b w:val="false"/>
          <w:i w:val="false"/>
          <w:color w:val="000000"/>
          <w:sz w:val="21"/>
        </w:rPr>
        <w:t xml:space="preserve"> (Notice ARC 8143B,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[Editorial change: IAC Supplement 1/27/10]</w:t>
      </w:r>
    </w:p>
    <w:p>
      <w:pPr>
        <w:spacing w:before="0" w:after="0"/>
        <w:ind w:left="120"/>
        <w:jc w:val="center"/>
      </w:pPr>
      <w:r>
        <w:rPr>
          <w:rFonts w:ascii="Times New Roman" w:hAnsi="Times New Roman"/>
          <w:b w:val="false"/>
          <w:i w:val="false"/>
          <w:color w:val="000000"/>
          <w:sz w:val="21"/>
        </w:rPr>
        <w:t>[Filed Emergency ARC 8823B, IAB 6/2/10, effective 5/14/10]</w:t>
      </w:r>
    </w:p>
    <w:p>
      <w:pPr>
        <w:spacing w:before="0" w:after="0"/>
        <w:ind w:left="120"/>
        <w:jc w:val="center"/>
      </w:pPr>
      <w:r>
        <w:rPr>
          <w:rFonts w:ascii="Times New Roman" w:hAnsi="Times New Roman"/>
          <w:b w:val="false"/>
          <w:i w:val="false"/>
          <w:color w:val="000000"/>
          <w:sz w:val="21"/>
        </w:rPr>
        <w:t>[Filed ARC 9209B</w:t>
      </w:r>
      <w:r>
        <w:rPr>
          <w:rFonts w:ascii="Times New Roman" w:hAnsi="Times New Roman"/>
          <w:b w:val="false"/>
          <w:i w:val="false"/>
          <w:color w:val="000000"/>
          <w:sz w:val="21"/>
        </w:rPr>
        <w:t xml:space="preserve"> (Notice ARC 8971B, IAB 7/28/10)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9659B</w:t>
      </w:r>
      <w:r>
        <w:rPr>
          <w:rFonts w:ascii="Times New Roman" w:hAnsi="Times New Roman"/>
          <w:b w:val="false"/>
          <w:i w:val="false"/>
          <w:color w:val="000000"/>
          <w:sz w:val="21"/>
        </w:rPr>
        <w:t xml:space="preserve"> (Notice ARC 9450B, IAB 4/6/11)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0025C</w:t>
      </w:r>
      <w:r>
        <w:rPr>
          <w:rFonts w:ascii="Times New Roman" w:hAnsi="Times New Roman"/>
          <w:b w:val="false"/>
          <w:i w:val="false"/>
          <w:color w:val="000000"/>
          <w:sz w:val="21"/>
        </w:rPr>
        <w:t xml:space="preserve"> (Notice ARC 9923B, IAB 12/14/11)</w:t>
      </w:r>
      <w:r>
        <w:rPr>
          <w:rFonts w:ascii="Times New Roman" w:hAnsi="Times New Roman"/>
          <w:b w:val="false"/>
          <w:i w:val="false"/>
          <w:color w:val="000000"/>
          <w:sz w:val="21"/>
        </w:rPr>
        <w:t>, IAB 3/7/12, effective 4/11/12]</w:t>
      </w:r>
      <w:r>
        <w:br/>
      </w: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0606C</w:t>
      </w:r>
      <w:r>
        <w:rPr>
          <w:rFonts w:ascii="Times New Roman" w:hAnsi="Times New Roman"/>
          <w:b w:val="false"/>
          <w:i w:val="false"/>
          <w:color w:val="000000"/>
          <w:sz w:val="21"/>
        </w:rPr>
        <w:t xml:space="preserve"> (Notice ARC 0494C,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0853C</w:t>
      </w:r>
      <w:r>
        <w:rPr>
          <w:rFonts w:ascii="Times New Roman" w:hAnsi="Times New Roman"/>
          <w:b w:val="false"/>
          <w:i w:val="false"/>
          <w:color w:val="000000"/>
          <w:sz w:val="21"/>
        </w:rPr>
        <w:t xml:space="preserve"> (Notice ARC 0677C, IAB 4/3/13)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1455C</w:t>
      </w:r>
      <w:r>
        <w:rPr>
          <w:rFonts w:ascii="Times New Roman" w:hAnsi="Times New Roman"/>
          <w:b w:val="false"/>
          <w:i w:val="false"/>
          <w:color w:val="000000"/>
          <w:sz w:val="21"/>
        </w:rPr>
        <w:t xml:space="preserve"> (Notice ARC 1344C, IAB 2/19/14)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1543C</w:t>
      </w:r>
      <w:r>
        <w:rPr>
          <w:rFonts w:ascii="Times New Roman" w:hAnsi="Times New Roman"/>
          <w:b w:val="false"/>
          <w:i w:val="false"/>
          <w:color w:val="000000"/>
          <w:sz w:val="21"/>
        </w:rPr>
        <w:t xml:space="preserve"> (Notice ARC 1378C, IAB 3/19/14)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4633C</w:t>
      </w:r>
      <w:r>
        <w:rPr>
          <w:rFonts w:ascii="Times New Roman" w:hAnsi="Times New Roman"/>
          <w:b w:val="false"/>
          <w:i w:val="false"/>
          <w:color w:val="000000"/>
          <w:sz w:val="21"/>
        </w:rPr>
        <w:t xml:space="preserve"> (Notice ARC 4503C,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4699C</w:t>
      </w:r>
      <w:r>
        <w:rPr>
          <w:rFonts w:ascii="Times New Roman" w:hAnsi="Times New Roman"/>
          <w:b w:val="false"/>
          <w:i w:val="false"/>
          <w:color w:val="000000"/>
          <w:sz w:val="21"/>
        </w:rPr>
        <w:t xml:space="preserve"> (Notice ARC 4560C,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6129C</w:t>
      </w:r>
      <w:r>
        <w:rPr>
          <w:rFonts w:ascii="Times New Roman" w:hAnsi="Times New Roman"/>
          <w:b w:val="false"/>
          <w:i w:val="false"/>
          <w:color w:val="000000"/>
          <w:sz w:val="21"/>
        </w:rPr>
        <w:t xml:space="preserve"> (Notice ARC 5934C, IAB 10/6/21)</w:t>
      </w:r>
      <w:r>
        <w:rPr>
          <w:rFonts w:ascii="Times New Roman" w:hAnsi="Times New Roman"/>
          <w:b w:val="false"/>
          <w:i w:val="false"/>
          <w:color w:val="000000"/>
          <w:sz w:val="21"/>
        </w:rPr>
        <w:t>, IAB 1/12/22, effective 2/16/22]</w:t>
      </w:r>
      <w:r>
        <w:br/>
      </w:r>
      <w:r>
        <w:rPr>
          <w:rFonts w:ascii="Times New Roman" w:hAnsi="Times New Roman"/>
          <w:b w:val="false"/>
          <w:i w:val="false"/>
          <w:color w:val="000000"/>
          <w:sz w:val="21"/>
        </w:rPr>
        <w:t>[Filed ARC 6130C</w:t>
      </w:r>
      <w:r>
        <w:rPr>
          <w:rFonts w:ascii="Times New Roman" w:hAnsi="Times New Roman"/>
          <w:b w:val="false"/>
          <w:i w:val="false"/>
          <w:color w:val="000000"/>
          <w:sz w:val="21"/>
        </w:rPr>
        <w:t xml:space="preserve"> (Notice ARC 5938C,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7718C</w:t>
      </w:r>
      <w:r>
        <w:rPr>
          <w:rFonts w:ascii="Times New Roman" w:hAnsi="Times New Roman"/>
          <w:b w:val="false"/>
          <w:i w:val="false"/>
          <w:color w:val="000000"/>
          <w:sz w:val="21"/>
        </w:rPr>
        <w:t xml:space="preserve"> (Notice ARC 7194C,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8810C</w:t>
      </w:r>
      <w:r>
        <w:rPr>
          <w:rFonts w:ascii="Times New Roman" w:hAnsi="Times New Roman"/>
          <w:b w:val="false"/>
          <w:i w:val="false"/>
          <w:color w:val="000000"/>
          <w:sz w:val="21"/>
        </w:rPr>
        <w:t xml:space="preserve"> (Notice ARC 8289C, IAB 10/30/24)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282—Ch 11 delayed 45 days by the Administrative Rules Review Committee at its meeting held March 10, 2000; delay lifted by the Committee at its meeting held April 7, 2000, effective April 8, 2000.</w:t>
      </w:r>
    </w:p>
    <w:p>
      <w:pPr>
        <w:pBdr>
          <w:bottom w:space="2"/>
        </w:pBdr>
        <w:spacing w:before="0" w:after="0"/>
        <w:ind w:left="120"/>
        <w:jc w:val="both"/>
      </w:pPr>
      <w:r>
        <w:rPr>
          <w:rFonts w:ascii="Times New Roman" w:hAnsi="Times New Roman"/>
          <w:b w:val="false"/>
          <w:i w:val="false"/>
          <w:color w:val="000000"/>
          <w:sz w:val="22"/>
        </w:rPr>
        <w:t>Effective date of ARC 8406B delayed until the adjournment of the 2010 Session of the General Assembly by the Administrative Rules Review Committee at its meeting held January 5, 2010.</w:t>
      </w:r>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256.160.pdf" Type="http://schemas.openxmlformats.org/officeDocument/2006/relationships/hyperlink" Id="rId7"/>
    <Relationship TargetMode="External" Target="https://www.legis.iowa.gov/docs/ico/chapter/232.71D.pdf" Type="http://schemas.openxmlformats.org/officeDocument/2006/relationships/hyperlink" Id="rId8"/>
    <Relationship TargetMode="External" Target="https://www.legis.iowa.gov/docs/ico/chapter/256.160.pdf" Type="http://schemas.openxmlformats.org/officeDocument/2006/relationships/hyperlink" Id="rId9"/>
    <Relationship TargetMode="External" Target="https://www.legis.iowa.gov/docs/ico/chapter/279.43.pdf" Type="http://schemas.openxmlformats.org/officeDocument/2006/relationships/hyperlink" Id="rId10"/>
    <Relationship TargetMode="External" Target="https://www.legis.iowa.gov/docs/iac/rule/281.102.11.pdf" Type="http://schemas.openxmlformats.org/officeDocument/2006/relationships/hyperlink" Id="rId11"/>
    <Relationship TargetMode="External" Target="https://www.legis.iowa.gov/docs/iac/chapter/282.11.pdf" Type="http://schemas.openxmlformats.org/officeDocument/2006/relationships/hyperlink" Id="rId12"/>
    <Relationship TargetMode="External" Target="https://www.legis.iowa.gov/docs/iac/chapter/282.25.pdf" Type="http://schemas.openxmlformats.org/officeDocument/2006/relationships/hyperlink" Id="rId13"/>
    <Relationship TargetMode="External" Target="https://www.legis.iowa.gov/docs/iac/rule/282.25.3.pdf" Type="http://schemas.openxmlformats.org/officeDocument/2006/relationships/hyperlink" Id="rId14"/>
    <Relationship TargetMode="External" Target="https://www.legis.iowa.gov/docs/ico/chapter/256.146.pdf" Type="http://schemas.openxmlformats.org/officeDocument/2006/relationships/hyperlink" Id="rId15"/>
    <Relationship TargetMode="External" Target="https://www.legis.iowa.gov/docs/ico/chapter/256.146.pdf" Type="http://schemas.openxmlformats.org/officeDocument/2006/relationships/hyperlink" Id="rId16"/>
    <Relationship TargetMode="External" Target="https://www.legis.iowa.gov/docs/ico/chapter/260.160.pdf" Type="http://schemas.openxmlformats.org/officeDocument/2006/relationships/hyperlink" Id="rId17"/>
    <Relationship TargetMode="External" Target="https://www.legis.iowa.gov/docs/ico/chapter/279.73.pdf" Type="http://schemas.openxmlformats.org/officeDocument/2006/relationships/hyperlink" Id="rId18"/>
    <Relationship TargetMode="External" Target="https://www.legis.iowa.gov/docs/ico/chapter/256.146.pdf" Type="http://schemas.openxmlformats.org/officeDocument/2006/relationships/hyperlink" Id="rId19"/>
    <Relationship TargetMode="External" Target="https://www.legis.iowa.gov/docs/ico/chapter/256.160.pdf" Type="http://schemas.openxmlformats.org/officeDocument/2006/relationships/hyperlink" Id="rId20"/>
    <Relationship TargetMode="External" Target="https://www.legis.iowa.gov/docs/ico/chapter/279.73.pdf" Type="http://schemas.openxmlformats.org/officeDocument/2006/relationships/hyperlink" Id="rId21"/>
    <Relationship TargetMode="External" Target="https://www.legis.iowa.gov/docs/ico/chapter/256.158.pdf" Type="http://schemas.openxmlformats.org/officeDocument/2006/relationships/hyperlink" Id="rId22"/>
    <Relationship TargetMode="External" Target="https://www.legis.iowa.gov/docs/iac/rule/282.11.4.pdf" Type="http://schemas.openxmlformats.org/officeDocument/2006/relationships/hyperlink" Id="rId23"/>
    <Relationship TargetMode="External" Target="https://www.legis.iowa.gov/docs/iac/rule/282.11.7.pdf" Type="http://schemas.openxmlformats.org/officeDocument/2006/relationships/hyperlink" Id="rId24"/>
    <Relationship TargetMode="External" Target="https://www.legis.iowa.gov/docs/iac/rule/282.11.7.pdf" Type="http://schemas.openxmlformats.org/officeDocument/2006/relationships/hyperlink" Id="rId25"/>
    <Relationship TargetMode="External" Target="https://www.legis.iowa.gov/docs/iac/rule/282.11.21.pdf" Type="http://schemas.openxmlformats.org/officeDocument/2006/relationships/hyperlink" Id="rId26"/>
    <Relationship TargetMode="External" Target="https://www.legis.iowa.gov/docs/iac/rule/282.11.4.pdf" Type="http://schemas.openxmlformats.org/officeDocument/2006/relationships/hyperlink" Id="rId27"/>
    <Relationship TargetMode="External" Target="https://www.legis.iowa.gov/docs/ico/chapter/256.146.pdf" Type="http://schemas.openxmlformats.org/officeDocument/2006/relationships/hyperlink" Id="rId28"/>
    <Relationship TargetMode="External" Target="https://www.legis.iowa.gov/docs/ico/chapter/256.151.pdf" Type="http://schemas.openxmlformats.org/officeDocument/2006/relationships/hyperlink" Id="rId29"/>
    <Relationship TargetMode="External" Target="https://www.legis.iowa.gov/docs/ico/chapter/256.146.pdf" Type="http://schemas.openxmlformats.org/officeDocument/2006/relationships/hyperlink" Id="rId30"/>
    <Relationship TargetMode="External" Target="https://www.legis.iowa.gov/docs/ico/chapter/256.146.pdf" Type="http://schemas.openxmlformats.org/officeDocument/2006/relationships/hyperlink" Id="rId31"/>
    <Relationship TargetMode="External" Target="https://www.legis.iowa.gov/docs/ico/chapter/261H.2.pdf" Type="http://schemas.openxmlformats.org/officeDocument/2006/relationships/hyperlink" Id="rId32"/>
    <Relationship TargetMode="External" Target="https://www.legis.iowa.gov/docs/ico/chapter/279.73.pdf" Type="http://schemas.openxmlformats.org/officeDocument/2006/relationships/hyperlink" Id="rId33"/>
    <Relationship TargetMode="External" Target="https://www.legis.iowa.gov/docs/ico/chapter/256.146.pdf" Type="http://schemas.openxmlformats.org/officeDocument/2006/relationships/hyperlink" Id="rId34"/>
    <Relationship TargetMode="External" Target="https://www.legis.iowa.gov/docs/ico/chapter/256.146.pdf" Type="http://schemas.openxmlformats.org/officeDocument/2006/relationships/hyperlink" Id="rId35"/>
    <Relationship TargetMode="External" Target="https://www.legis.iowa.gov/docs/iac/rule/282.11.8.pdf" Type="http://schemas.openxmlformats.org/officeDocument/2006/relationships/hyperlink" Id="rId36"/>
    <Relationship TargetMode="External" Target="https://www.legis.iowa.gov/docs/iac/rule/282.11.28.pdf" Type="http://schemas.openxmlformats.org/officeDocument/2006/relationships/hyperlink" Id="rId37"/>
    <Relationship TargetMode="External" Target="https://www.legis.iowa.gov/docs/ico/chapter/17A.19.pdf" Type="http://schemas.openxmlformats.org/officeDocument/2006/relationships/hyperlink" Id="rId38"/>
    <Relationship TargetMode="External" Target="https://www.legis.iowa.gov/docs/iac/rule/282.11.35.pdf" Type="http://schemas.openxmlformats.org/officeDocument/2006/relationships/hyperlink" Id="rId39"/>
    <Relationship TargetMode="External" Target="https://www.legis.iowa.gov/docs/ico/chapter/17A.19.pdf" Type="http://schemas.openxmlformats.org/officeDocument/2006/relationships/hyperlink" Id="rId40"/>
    <Relationship TargetMode="External" Target="https://www.legis.iowa.gov/docs/ico/chapter/17A.18.pdf" Type="http://schemas.openxmlformats.org/officeDocument/2006/relationships/hyperlink" Id="rId41"/>
    <Relationship TargetMode="External" Target="https://www.legis.iowa.gov/docs/ico/chapter/17A.18.pdf" Type="http://schemas.openxmlformats.org/officeDocument/2006/relationships/hyperlink" Id="rId42"/>
    <Relationship TargetMode="External" Target="https://www.legis.iowa.gov/docs/ico/chapter/256.146.pdf" Type="http://schemas.openxmlformats.org/officeDocument/2006/relationships/hyperlink" Id="rId43"/>
    <Relationship TargetMode="External" Target="https://www.legis.iowa.gov/docs/ico/chapter/256.160.pdf" Type="http://schemas.openxmlformats.org/officeDocument/2006/relationships/hyperlink" Id="rId44"/>
    <Relationship TargetMode="External" Target="https://www.legis.iowa.gov/docs/ico/chapter/279.73.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256.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