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 xml:space="preserve"> ORGANIZATION AND OPERATION</w:t>
      </w:r>
    </w:p>
    <w:p>
      <w:pPr>
        <w:spacing w:before="0" w:after="0"/>
        <w:ind w:left="120"/>
        <w:jc w:val="center"/>
      </w:pPr>
      <w:r>
        <w:rPr>
          <w:rFonts w:ascii="Times New Roman" w:hAnsi="Times New Roman"/>
          <w:b w:val="false"/>
          <w:i w:val="false"/>
          <w:color w:val="000000"/>
          <w:sz w:val="14"/>
        </w:rPr>
        <w:t>[Prior to 6/15/88, see Professional Teaching Practices Commission[640] Ch 1]</w:t>
      </w:r>
    </w:p>
    <w:p>
      <w:pPr>
        <w:spacing w:before="0" w:after="0"/>
        <w:ind w:left="120"/>
        <w:jc w:val="center"/>
      </w:pPr>
      <w:r>
        <w:rPr>
          <w:rFonts w:ascii="Times New Roman" w:hAnsi="Times New Roman"/>
          <w:b w:val="false"/>
          <w:i w:val="false"/>
          <w:color w:val="000000"/>
          <w:sz w:val="14"/>
        </w:rPr>
        <w:t>[Prior to 5/16/90, see Professional Teaching Practices Commission[287]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282—1.1</w:t>
      </w:r>
      <w:r>
        <w:rPr>
          <w:rFonts w:ascii="Times New Roman" w:hAnsi="Times New Roman"/>
          <w:b/>
          <w:i w:val="false"/>
          <w:color w:val="000000"/>
          <w:sz w:val="22"/>
        </w:rPr>
        <w:t xml:space="preserve">(256,17A) </w:t>
      </w:r>
      <w:r>
        <w:rPr>
          <w:rFonts w:ascii="Times New Roman" w:hAnsi="Times New Roman"/>
          <w:b/>
          <w:i w:val="false"/>
          <w:color w:val="000000"/>
          <w:sz w:val="22"/>
        </w:rPr>
        <w:t xml:space="preserve">Board of educational examiners. </w:t>
      </w:r>
      <w:r>
        <w:rPr>
          <w:rFonts w:ascii="Times New Roman" w:hAnsi="Times New Roman"/>
          <w:b w:val="false"/>
          <w:i w:val="false"/>
          <w:color w:val="000000"/>
          <w:sz w:val="22"/>
        </w:rPr>
        <w:t xml:space="preserve">The board was created by Iowa Code section </w:t>
      </w:r>
      <w:hyperlink r:id="rId5">
        <w:r>
          <w:rPr>
            <w:rStyle w:val="Hyperlink"/>
            <w:rFonts w:ascii="Times New Roman" w:hAnsi="Times New Roman"/>
            <w:b w:val="false"/>
            <w:i w:val="false"/>
            <w:color w:val="000000"/>
            <w:sz w:val="22"/>
          </w:rPr>
          <w:t>256.146</w:t>
        </w:r>
      </w:hyperlink>
      <w:r>
        <w:rPr>
          <w:rFonts w:ascii="Times New Roman" w:hAnsi="Times New Roman"/>
          <w:b w:val="false"/>
          <w:i w:val="false"/>
          <w:color w:val="000000"/>
          <w:sz w:val="22"/>
        </w:rPr>
        <w:t xml:space="preserve"> as the governing and policy-forming body for educational examiners.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 xml:space="preserve">The membership of the board is defined in Iowa Code section </w:t>
      </w:r>
      <w:hyperlink r:id="rId6">
        <w:r>
          <w:rPr>
            <w:rStyle w:val="Hyperlink"/>
            <w:rFonts w:ascii="Times New Roman" w:hAnsi="Times New Roman"/>
            <w:b w:val="false"/>
            <w:i w:val="false"/>
            <w:color w:val="000000"/>
            <w:sz w:val="22"/>
          </w:rPr>
          <w:t>256.147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 xml:space="preserve">All voting members receive compensation and reimbursement as provided in Iowa Code section </w:t>
      </w:r>
      <w:hyperlink r:id="rId7">
        <w:r>
          <w:rPr>
            <w:rStyle w:val="Hyperlink"/>
            <w:rFonts w:ascii="Times New Roman" w:hAnsi="Times New Roman"/>
            <w:b w:val="false"/>
            <w:i w:val="false"/>
            <w:color w:val="000000"/>
            <w:sz w:val="22"/>
          </w:rPr>
          <w:t>256.149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color w:val="000000"/>
          <w:sz w:val="22"/>
        </w:rPr>
        <w:t xml:space="preserve">Executive director. </w:t>
      </w:r>
      <w:r>
        <w:rPr>
          <w:rFonts w:ascii="Times New Roman" w:hAnsi="Times New Roman"/>
          <w:b w:val="false"/>
          <w:i w:val="false"/>
          <w:color w:val="000000"/>
          <w:sz w:val="22"/>
        </w:rPr>
        <w:t xml:space="preserve">The appointment and compensation of the executive director are defined in Iowa Code section </w:t>
      </w:r>
      <w:hyperlink r:id="rId8">
        <w:r>
          <w:rPr>
            <w:rStyle w:val="Hyperlink"/>
            <w:rFonts w:ascii="Times New Roman" w:hAnsi="Times New Roman"/>
            <w:b w:val="false"/>
            <w:i w:val="false"/>
            <w:color w:val="000000"/>
            <w:sz w:val="22"/>
          </w:rPr>
          <w:t>256.149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The majority of the board’s meetings are held at the Grimes State Office Building, 400 East 14th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will biennially, at its regularly scheduled meeting in June, elect a chair from its membership to begin serving upon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will approve annual meeting dates by at least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may schedule special meetings called by the chair or upon request to the chair by seven members of the board or upon request of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order to be placed on the agenda, materials will be received at least two weeks prior to a scheduled board meeting. Materials from emergency or unusual circumstances may be added to the agenda with the chair’s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Persons in attendance at board meetings may be granted an opportunity to speak on an issue before the board at the discretion of the chair. The length and frequency of public comment will be at the discretion of the chair.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will govern its meetings in accordance with Iowa Code chapter </w:t>
      </w:r>
      <w:hyperlink r:id="rId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its proceedings by Robert’s Rules of Order, Revised.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282—1.2</w:t>
      </w:r>
      <w:r>
        <w:rPr>
          <w:rFonts w:ascii="Times New Roman" w:hAnsi="Times New Roman"/>
          <w:b/>
          <w:i w:val="false"/>
          <w:color w:val="000000"/>
          <w:sz w:val="22"/>
        </w:rPr>
        <w:t xml:space="preserve">(256,17A) </w:t>
      </w:r>
      <w:r>
        <w:rPr>
          <w:rFonts w:ascii="Times New Roman" w:hAnsi="Times New Roman"/>
          <w:b/>
          <w:i w:val="false"/>
          <w:color w:val="000000"/>
          <w:sz w:val="22"/>
        </w:rPr>
        <w:t xml:space="preserve">Information, submissions or requests. </w:t>
      </w:r>
      <w:r>
        <w:rPr>
          <w:rFonts w:ascii="Times New Roman" w:hAnsi="Times New Roman"/>
          <w:b w:val="false"/>
          <w:i w:val="false"/>
          <w:color w:val="000000"/>
          <w:sz w:val="22"/>
        </w:rPr>
        <w:t>General inquiries regarding the board, requests for forms and other documents, and all other requests and submissions may be addressed to the Executive Director, Board of Educational Examiners, 701 East Court Avenue, Suite A, Des Moines, Iowa 50309.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8800C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 These rules are intended to implement Iowa Code section </w:t>
      </w:r>
      <w:hyperlink r:id="rId10">
        <w:r>
          <w:rPr>
            <w:rStyle w:val="Hyperlink"/>
            <w:rFonts w:ascii="Times New Roman" w:hAnsi="Times New Roman"/>
            <w:b w:val="false"/>
            <w:i w:val="false"/>
            <w:color w:val="000000"/>
            <w:sz w:val="22"/>
          </w:rPr>
          <w:t>256.146 </w:t>
        </w:r>
      </w:hyperlink>
      <w:r>
        <w:rPr>
          <w:rFonts w:ascii="Times New Roman" w:hAnsi="Times New Roman"/>
          <w:b w:val="false"/>
          <w:i w:val="false"/>
          <w:color w:val="000000"/>
          <w:sz w:val="22"/>
        </w:rPr>
        <w:t xml:space="preserve">and chapter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July 12, 1973]</w:t>
      </w:r>
    </w:p>
    <w:p>
      <w:pPr>
        <w:spacing w:before="0" w:after="0"/>
        <w:ind w:left="120"/>
        <w:jc w:val="center"/>
      </w:pPr>
      <w:r>
        <w:rPr>
          <w:rFonts w:ascii="Times New Roman" w:hAnsi="Times New Roman"/>
          <w:b w:val="false"/>
          <w:i w:val="false"/>
          <w:color w:val="000000"/>
          <w:sz w:val="21"/>
        </w:rPr>
        <w:t>[Filed 10/6/75, Notice 8/25/75—published 10/20/75, effective 11/24/75]</w:t>
      </w:r>
    </w:p>
    <w:p>
      <w:pPr>
        <w:spacing w:before="0" w:after="0"/>
        <w:ind w:left="120"/>
        <w:jc w:val="center"/>
      </w:pPr>
      <w:r>
        <w:rPr>
          <w:rFonts w:ascii="Times New Roman" w:hAnsi="Times New Roman"/>
          <w:b w:val="false"/>
          <w:i w:val="false"/>
          <w:color w:val="000000"/>
          <w:sz w:val="21"/>
        </w:rPr>
        <w:t>[Filed emergency 7/2/86—published 7/30/86, effective 7/2/86]</w:t>
      </w:r>
    </w:p>
    <w:p>
      <w:pPr>
        <w:spacing w:before="0" w:after="0"/>
        <w:ind w:left="120"/>
        <w:jc w:val="center"/>
      </w:pPr>
      <w:r>
        <w:rPr>
          <w:rFonts w:ascii="Times New Roman" w:hAnsi="Times New Roman"/>
          <w:b w:val="false"/>
          <w:i w:val="false"/>
          <w:color w:val="000000"/>
          <w:sz w:val="21"/>
        </w:rPr>
        <w:t>[Filed emergency 5/25/88—published 6/15/88, effective 5/25/88]</w:t>
      </w:r>
    </w:p>
    <w:p>
      <w:pPr>
        <w:spacing w:before="0" w:after="0"/>
        <w:ind w:left="120"/>
        <w:jc w:val="center"/>
      </w:pPr>
      <w:r>
        <w:rPr>
          <w:rFonts w:ascii="Times New Roman" w:hAnsi="Times New Roman"/>
          <w:b w:val="false"/>
          <w:i w:val="false"/>
          <w:color w:val="000000"/>
          <w:sz w:val="21"/>
        </w:rPr>
        <w:t>[Filed emergency 4/26/90—published 5/16/90, effective 4/27/90]</w:t>
      </w:r>
    </w:p>
    <w:p>
      <w:pPr>
        <w:spacing w:before="0" w:after="0"/>
        <w:ind w:left="120"/>
        <w:jc w:val="center"/>
      </w:pPr>
      <w:r>
        <w:rPr>
          <w:rFonts w:ascii="Times New Roman" w:hAnsi="Times New Roman"/>
          <w:b w:val="false"/>
          <w:i w:val="false"/>
          <w:color w:val="000000"/>
          <w:sz w:val="21"/>
        </w:rPr>
        <w:t>[Filed 5/20/92, Notice 2/19/92—published 6/10/92, effective 7/15/92]</w:t>
      </w:r>
    </w:p>
    <w:p>
      <w:pPr>
        <w:spacing w:before="0" w:after="0"/>
        <w:ind w:left="120"/>
        <w:jc w:val="center"/>
      </w:pPr>
      <w:r>
        <w:rPr>
          <w:rFonts w:ascii="Times New Roman" w:hAnsi="Times New Roman"/>
          <w:b w:val="false"/>
          <w:i w:val="false"/>
          <w:color w:val="000000"/>
          <w:sz w:val="21"/>
        </w:rPr>
        <w:t>[Filed emergency 2/21/95—published 3/15/95, effective 2/21/95]</w:t>
      </w:r>
    </w:p>
    <w:p>
      <w:pPr>
        <w:spacing w:before="0" w:after="0"/>
        <w:ind w:left="120"/>
        <w:jc w:val="center"/>
      </w:pPr>
      <w:r>
        <w:rPr>
          <w:rFonts w:ascii="Times New Roman" w:hAnsi="Times New Roman"/>
          <w:b w:val="false"/>
          <w:i w:val="false"/>
          <w:color w:val="000000"/>
          <w:sz w:val="21"/>
        </w:rPr>
        <w:t>[Filed 10/15/07, Notice 8/1/07—published 11/7/07, effective 12/12/07]</w:t>
      </w:r>
    </w:p>
    <w:p>
      <w:pPr>
        <w:spacing w:before="0" w:after="0"/>
        <w:ind w:left="120"/>
        <w:jc w:val="center"/>
      </w:pPr>
      <w:r>
        <w:rPr>
          <w:rFonts w:ascii="Times New Roman" w:hAnsi="Times New Roman"/>
          <w:b w:val="false"/>
          <w:i w:val="false"/>
          <w:color w:val="000000"/>
          <w:sz w:val="21"/>
        </w:rPr>
        <w:t>[Filed ARC 0026C</w:t>
      </w:r>
      <w:r>
        <w:rPr>
          <w:rFonts w:ascii="Times New Roman" w:hAnsi="Times New Roman"/>
          <w:b w:val="false"/>
          <w:i w:val="false"/>
          <w:color w:val="000000"/>
          <w:sz w:val="21"/>
        </w:rPr>
        <w:t xml:space="preserve"> (Notice ARC 9924B, IAB 12/14/11)</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[Filed ARC 3196C</w:t>
      </w:r>
      <w:r>
        <w:rPr>
          <w:rFonts w:ascii="Times New Roman" w:hAnsi="Times New Roman"/>
          <w:b w:val="false"/>
          <w:i w:val="false"/>
          <w:color w:val="000000"/>
          <w:sz w:val="21"/>
        </w:rPr>
        <w:t xml:space="preserve"> (Notice ARC 3012C, IAB 4/12/17)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5320C</w:t>
      </w:r>
      <w:r>
        <w:rPr>
          <w:rFonts w:ascii="Times New Roman" w:hAnsi="Times New Roman"/>
          <w:b w:val="false"/>
          <w:i w:val="false"/>
          <w:color w:val="000000"/>
          <w:sz w:val="21"/>
        </w:rPr>
        <w:t xml:space="preserve"> (Notice ARC 5213C, IAB 10/7/20)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8800C</w:t>
      </w:r>
      <w:r>
        <w:rPr>
          <w:rFonts w:ascii="Times New Roman" w:hAnsi="Times New Roman"/>
          <w:b w:val="false"/>
          <w:i w:val="false"/>
          <w:color w:val="000000"/>
          <w:sz w:val="21"/>
        </w:rPr>
        <w:t xml:space="preserve"> (Notice ARC 8282C, IAB 10/30/24)</w:t>
      </w:r>
      <w:r>
        <w:rPr>
          <w:rFonts w:ascii="Times New Roman" w:hAnsi="Times New Roman"/>
          <w:b w:val="false"/>
          <w:i w:val="false"/>
          <w:color w:val="000000"/>
          <w:sz w:val="21"/>
        </w:rPr>
        <w:t>, IAB 1/22/25, effective 2/26/25]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146.pdf" Type="http://schemas.openxmlformats.org/officeDocument/2006/relationships/hyperlink" Id="rId5"/>
    <Relationship TargetMode="External" Target="https://www.legis.iowa.gov/docs/ico/chapter/256.147.pdf" Type="http://schemas.openxmlformats.org/officeDocument/2006/relationships/hyperlink" Id="rId6"/>
    <Relationship TargetMode="External" Target="https://www.legis.iowa.gov/docs/ico/chapter/256.149.pdf" Type="http://schemas.openxmlformats.org/officeDocument/2006/relationships/hyperlink" Id="rId7"/>
    <Relationship TargetMode="External" Target="https://www.legis.iowa.gov/docs/ico/chapter/256.149.pdf" Type="http://schemas.openxmlformats.org/officeDocument/2006/relationships/hyperlink" Id="rId8"/>
    <Relationship TargetMode="External" Target="https://www.legis.iowa.gov/docs/ico/chapter/21.pdf" Type="http://schemas.openxmlformats.org/officeDocument/2006/relationships/hyperlink" Id="rId9"/>
    <Relationship TargetMode="External" Target="https://www.legis.iowa.gov/docs/ico/chapter/256.146.pdf" Type="http://schemas.openxmlformats.org/officeDocument/2006/relationships/hyperlink" Id="rId10"/>
    <Relationship TargetMode="External" Target="https://www.legis.iowa.gov/docs/ico/chapter/17A.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