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99</w:t>
      </w:r>
    </w:p>
    <w:p>
      <w:pPr>
        <w:spacing w:before="0" w:after="0"/>
        <w:ind w:left="120"/>
        <w:jc w:val="center"/>
      </w:pPr>
      <w:r>
        <w:rPr>
          <w:rFonts w:ascii="Times New Roman" w:hAnsi="Times New Roman"/>
          <w:b w:val="false"/>
          <w:i w:val="false"/>
          <w:color w:val="000000"/>
          <w:sz w:val="21"/>
        </w:rPr>
        <w:t>BUSINESS PROCEDURES AND DEADLINES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1/31/29</w:t>
      </w:r>
    </w:p>
    <w:p>
      <w:pPr>
        <w:spacing w:before="0" w:after="0"/>
        <w:ind w:left="120"/>
        <w:jc w:val="both"/>
      </w:pPr>
      <w:r>
        <w:rPr>
          <w:rFonts w:ascii="Times New Roman" w:hAnsi="Times New Roman"/>
          <w:b/>
          <w:i w:val="false"/>
          <w:color w:val="000000"/>
          <w:sz w:val="22"/>
        </w:rPr>
        <w:t>281—99.1</w:t>
      </w:r>
      <w:r>
        <w:rPr>
          <w:rFonts w:ascii="Times New Roman" w:hAnsi="Times New Roman"/>
          <w:b/>
          <w:i w:val="false"/>
          <w:color w:val="000000"/>
          <w:sz w:val="22"/>
        </w:rPr>
        <w:t xml:space="preserve">(257)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“Area education agency”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“AEA” </w:t>
      </w:r>
      <w:r>
        <w:rPr>
          <w:rFonts w:ascii="Times New Roman" w:hAnsi="Times New Roman"/>
          <w:b w:val="false"/>
          <w:i w:val="false"/>
          <w:color w:val="000000"/>
          <w:sz w:val="22"/>
        </w:rPr>
        <w:t xml:space="preserve">means a school corporation organized under Iowa Code chapter </w:t>
      </w:r>
      <w:hyperlink r:id="rId5">
        <w:r>
          <w:rPr>
            <w:rStyle w:val="Hyperlink"/>
            <w:rFonts w:ascii="Times New Roman" w:hAnsi="Times New Roman"/>
            <w:b w:val="false"/>
            <w:i w:val="false"/>
            <w:color w:val="000000"/>
            <w:sz w:val="22"/>
          </w:rPr>
          <w:t>273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“Basis of accounting” </w:t>
      </w:r>
      <w:r>
        <w:rPr>
          <w:rFonts w:ascii="Times New Roman" w:hAnsi="Times New Roman"/>
          <w:b w:val="false"/>
          <w:i w:val="false"/>
          <w:color w:val="000000"/>
          <w:sz w:val="22"/>
        </w:rPr>
        <w:t>means the accrual/modified accrual accounting basis under generally accepted accounting principles (GAAP) as defined by the governmental accounting standards board (GASB) as of October 4,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“Basis of budgeting” </w:t>
      </w:r>
      <w:r>
        <w:rPr>
          <w:rFonts w:ascii="Times New Roman" w:hAnsi="Times New Roman"/>
          <w:b w:val="false"/>
          <w:i w:val="false"/>
          <w:color w:val="000000"/>
          <w:sz w:val="22"/>
        </w:rPr>
        <w:t>means the accrual/modified accrual budgeting basis under GAAP as defined by the GASB as of October 4,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“SBRC” </w:t>
      </w:r>
      <w:r>
        <w:rPr>
          <w:rFonts w:ascii="Times New Roman" w:hAnsi="Times New Roman"/>
          <w:b w:val="false"/>
          <w:i w:val="false"/>
          <w:color w:val="000000"/>
          <w:sz w:val="22"/>
        </w:rPr>
        <w:t xml:space="preserve">means the school budget review committee appointed pursuant to Iowa Code section </w:t>
      </w:r>
      <w:hyperlink r:id="rId6">
        <w:r>
          <w:rPr>
            <w:rStyle w:val="Hyperlink"/>
            <w:rFonts w:ascii="Times New Roman" w:hAnsi="Times New Roman"/>
            <w:b w:val="false"/>
            <w:i w:val="false"/>
            <w:color w:val="000000"/>
            <w:sz w:val="22"/>
          </w:rPr>
          <w:t>257.30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district” </w:t>
      </w:r>
      <w:r>
        <w:rPr>
          <w:rFonts w:ascii="Times New Roman" w:hAnsi="Times New Roman"/>
          <w:b w:val="false"/>
          <w:i w:val="false"/>
          <w:color w:val="000000"/>
          <w:sz w:val="22"/>
        </w:rPr>
        <w:t xml:space="preserve">means a school corporation organized under Iowa Code chapter </w:t>
      </w:r>
      <w:hyperlink r:id="rId7">
        <w:r>
          <w:rPr>
            <w:rStyle w:val="Hyperlink"/>
            <w:rFonts w:ascii="Times New Roman" w:hAnsi="Times New Roman"/>
            <w:b w:val="false"/>
            <w:i w:val="false"/>
            <w:color w:val="000000"/>
            <w:sz w:val="22"/>
          </w:rPr>
          <w:t>274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“Unique” </w:t>
      </w:r>
      <w:r>
        <w:rPr>
          <w:rFonts w:ascii="Times New Roman" w:hAnsi="Times New Roman"/>
          <w:b w:val="false"/>
          <w:i w:val="false"/>
          <w:color w:val="000000"/>
          <w:sz w:val="22"/>
        </w:rPr>
        <w:t>means highly unusual, extraordinary; unparalleled.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“Unusual” </w:t>
      </w:r>
      <w:r>
        <w:rPr>
          <w:rFonts w:ascii="Times New Roman" w:hAnsi="Times New Roman"/>
          <w:b w:val="false"/>
          <w:i w:val="false"/>
          <w:color w:val="000000"/>
          <w:sz w:val="22"/>
        </w:rPr>
        <w:t>means not usual or common; rare; constituting or occurring as an exception; not ordinary or average.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“Usual” </w:t>
      </w:r>
      <w:r>
        <w:rPr>
          <w:rFonts w:ascii="Times New Roman" w:hAnsi="Times New Roman"/>
          <w:b w:val="false"/>
          <w:i w:val="false"/>
          <w:color w:val="000000"/>
          <w:sz w:val="22"/>
        </w:rPr>
        <w:t>means that which past experience has shown to be normal or common or is anticipated to become normal or common, hence an expected or predictable event.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7417C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281—99.2</w:t>
      </w:r>
      <w:r>
        <w:rPr>
          <w:rFonts w:ascii="Times New Roman" w:hAnsi="Times New Roman"/>
          <w:b/>
          <w:i w:val="false"/>
          <w:color w:val="000000"/>
          <w:sz w:val="22"/>
        </w:rPr>
        <w:t xml:space="preserve">(256,257,285,291) </w:t>
      </w:r>
      <w:r>
        <w:rPr>
          <w:rFonts w:ascii="Times New Roman" w:hAnsi="Times New Roman"/>
          <w:b/>
          <w:i w:val="false"/>
          <w:color w:val="000000"/>
          <w:sz w:val="22"/>
        </w:rPr>
        <w:t xml:space="preserve">Submission deadlines. </w:t>
      </w:r>
      <w:r>
        <w:rPr>
          <w:rFonts w:ascii="Times New Roman" w:hAnsi="Times New Roman"/>
          <w:b w:val="false"/>
          <w:i w:val="false"/>
          <w:color w:val="000000"/>
          <w:sz w:val="22"/>
        </w:rPr>
        <w:t>It is the responsibility of the administrative officials and board members to submit information and materials as requested by the department of education, department of management, any other state agency, or any federal agency. Reports shall be filed electronically if an electronic format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99.2(1)</w:t>
      </w:r>
      <w:r>
        <w:rPr>
          <w:rFonts w:ascii="Times New Roman" w:hAnsi="Times New Roman"/>
          <w:b w:val="false"/>
          <w:i w:val="false"/>
          <w:color w:val="000000"/>
          <w:sz w:val="22"/>
        </w:rPr>
        <w:t> </w:t>
      </w:r>
      <w:r>
        <w:rPr>
          <w:rFonts w:ascii="Times New Roman" w:hAnsi="Times New Roman"/>
          <w:b w:val="false"/>
          <w:i w:val="false"/>
          <w:color w:val="000000"/>
          <w:sz w:val="22"/>
        </w:rPr>
        <w:t>All school districts will submit program plans, reports, or data collections in the manner, by the procedures, and on the dates set by statute or by the department of education. Plans, reports, and data collections will include the following:</w:t>
      </w:r>
    </w:p>
    <w:tbl>
      <w:tblPr>
        <w:tblW w:w="5000" w:type="pct"/>
        <w:tblCellSpacing w:w="0" w:type="auto"/>
        <w:tblBorders>
          <w:top w:val="none"/>
          <w:left w:val="none"/>
          <w:bottom w:val="none"/>
          <w:right w:val="none"/>
          <w:insideH w:val="none"/>
          <w:insideV w:val="none"/>
        </w:tblBorders>
        <w:tblLayout w:type="fixed"/>
      </w:tblPr>
      <w:tblGrid>
        <w:gridCol w:w="7035"/>
        <w:gridCol w:w="4155"/>
      </w:tblGrid>
      <w:tr>
        <w:trPr>
          <w:trHeight w:val="270" w:hRule="atLeast"/>
        </w:trPr>
        <w:tc>
          <w:tcPr>
            <w:tcW w:w="70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Vehicle Information System</w:t>
            </w:r>
          </w:p>
        </w:tc>
        <w:tc>
          <w:tcPr>
            <w:tcW w:w="41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September 1 </w:t>
            </w:r>
          </w:p>
        </w:tc>
      </w:tr>
      <w:tr>
        <w:trPr>
          <w:trHeight w:val="270" w:hRule="atLeast"/>
        </w:trPr>
        <w:tc>
          <w:tcPr>
            <w:tcW w:w="70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Annual Transportation Report</w:t>
            </w:r>
          </w:p>
        </w:tc>
        <w:tc>
          <w:tcPr>
            <w:tcW w:w="41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September 15</w:t>
            </w:r>
          </w:p>
        </w:tc>
      </w:tr>
      <w:tr>
        <w:trPr>
          <w:trHeight w:val="270" w:hRule="atLeast"/>
        </w:trPr>
        <w:tc>
          <w:tcPr>
            <w:tcW w:w="70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Certified Annual Report (CAR-COA)</w:t>
            </w:r>
          </w:p>
        </w:tc>
        <w:tc>
          <w:tcPr>
            <w:tcW w:w="41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September 15</w:t>
            </w:r>
          </w:p>
        </w:tc>
      </w:tr>
      <w:tr>
        <w:trPr>
          <w:trHeight w:val="270" w:hRule="atLeast"/>
        </w:trPr>
        <w:tc>
          <w:tcPr>
            <w:tcW w:w="70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Special Education Supplement</w:t>
            </w:r>
          </w:p>
        </w:tc>
        <w:tc>
          <w:tcPr>
            <w:tcW w:w="41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September 15</w:t>
            </w:r>
          </w:p>
        </w:tc>
      </w:tr>
      <w:tr>
        <w:trPr>
          <w:trHeight w:val="270" w:hRule="atLeast"/>
        </w:trPr>
        <w:tc>
          <w:tcPr>
            <w:tcW w:w="70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Facilities, Elections &amp; Save Report</w:t>
            </w:r>
          </w:p>
        </w:tc>
        <w:tc>
          <w:tcPr>
            <w:tcW w:w="41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September 30</w:t>
            </w:r>
          </w:p>
        </w:tc>
      </w:tr>
      <w:tr>
        <w:trPr>
          <w:trHeight w:val="270" w:hRule="atLeast"/>
        </w:trPr>
        <w:tc>
          <w:tcPr>
            <w:tcW w:w="70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Certified Enrollment Report/PEACE</w:t>
            </w:r>
          </w:p>
        </w:tc>
        <w:tc>
          <w:tcPr>
            <w:tcW w:w="41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October 15</w:t>
            </w:r>
          </w:p>
        </w:tc>
      </w:tr>
      <w:tr>
        <w:trPr>
          <w:trHeight w:val="270" w:hRule="atLeast"/>
        </w:trPr>
        <w:tc>
          <w:tcPr>
            <w:tcW w:w="70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Certified Supplementary Weighting Report</w:t>
            </w:r>
          </w:p>
        </w:tc>
        <w:tc>
          <w:tcPr>
            <w:tcW w:w="41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October 15</w:t>
            </w:r>
          </w:p>
        </w:tc>
      </w:tr>
      <w:tr>
        <w:trPr>
          <w:trHeight w:val="270" w:hRule="atLeast"/>
        </w:trPr>
        <w:tc>
          <w:tcPr>
            <w:tcW w:w="70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School Board Officers Report</w:t>
            </w:r>
          </w:p>
        </w:tc>
        <w:tc>
          <w:tcPr>
            <w:tcW w:w="41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November 1</w:t>
            </w:r>
          </w:p>
        </w:tc>
      </w:tr>
      <w:tr>
        <w:trPr>
          <w:trHeight w:val="270" w:hRule="atLeast"/>
        </w:trPr>
        <w:tc>
          <w:tcPr>
            <w:tcW w:w="70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Annual Audit Report</w:t>
            </w:r>
          </w:p>
        </w:tc>
        <w:tc>
          <w:tcPr>
            <w:tcW w:w="41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March 31</w:t>
            </w:r>
          </w:p>
        </w:tc>
      </w:tr>
      <w:tr>
        <w:trPr>
          <w:trHeight w:val="270" w:hRule="atLeast"/>
        </w:trPr>
        <w:tc>
          <w:tcPr>
            <w:tcW w:w="70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Certified Budget</w:t>
            </w:r>
          </w:p>
        </w:tc>
        <w:tc>
          <w:tcPr>
            <w:tcW w:w="41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April 15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99.2(2)</w:t>
      </w:r>
      <w:r>
        <w:rPr>
          <w:rFonts w:ascii="Times New Roman" w:hAnsi="Times New Roman"/>
          <w:b w:val="false"/>
          <w:i w:val="false"/>
          <w:color w:val="000000"/>
          <w:sz w:val="22"/>
        </w:rPr>
        <w:t> </w:t>
      </w:r>
      <w:r>
        <w:rPr>
          <w:rFonts w:ascii="Times New Roman" w:hAnsi="Times New Roman"/>
          <w:b w:val="false"/>
          <w:i w:val="false"/>
          <w:color w:val="000000"/>
          <w:sz w:val="22"/>
        </w:rPr>
        <w:t>All AEAs will submit program plans, reports, or data collections in the manner, by the procedures, and on the dates set by statute or by the department of education. Plans, reports, and data collections will include the following:</w:t>
      </w:r>
    </w:p>
    <w:tbl>
      <w:tblPr>
        <w:tblW w:w="5000" w:type="pct"/>
        <w:tblCellSpacing w:w="0" w:type="auto"/>
        <w:tblBorders>
          <w:top w:val="none"/>
          <w:left w:val="none"/>
          <w:bottom w:val="none"/>
          <w:right w:val="none"/>
          <w:insideH w:val="none"/>
          <w:insideV w:val="none"/>
        </w:tblBorders>
        <w:tblLayout w:type="fixed"/>
      </w:tblPr>
      <w:tblGrid>
        <w:gridCol w:w="7035"/>
        <w:gridCol w:w="4155"/>
      </w:tblGrid>
      <w:tr>
        <w:trPr>
          <w:trHeight w:val="270" w:hRule="atLeast"/>
        </w:trPr>
        <w:tc>
          <w:tcPr>
            <w:tcW w:w="70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Certified Annual Report (CAR-COA)</w:t>
            </w:r>
          </w:p>
        </w:tc>
        <w:tc>
          <w:tcPr>
            <w:tcW w:w="41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September 15</w:t>
            </w:r>
          </w:p>
        </w:tc>
      </w:tr>
      <w:tr>
        <w:trPr>
          <w:trHeight w:val="270" w:hRule="atLeast"/>
        </w:trPr>
        <w:tc>
          <w:tcPr>
            <w:tcW w:w="70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Facilities Report</w:t>
            </w:r>
          </w:p>
        </w:tc>
        <w:tc>
          <w:tcPr>
            <w:tcW w:w="41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September 30</w:t>
            </w:r>
          </w:p>
        </w:tc>
      </w:tr>
      <w:tr>
        <w:trPr>
          <w:trHeight w:val="270" w:hRule="atLeast"/>
        </w:trPr>
        <w:tc>
          <w:tcPr>
            <w:tcW w:w="70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Certified Supplementary Weighting Report</w:t>
            </w:r>
          </w:p>
        </w:tc>
        <w:tc>
          <w:tcPr>
            <w:tcW w:w="41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October 15</w:t>
            </w:r>
          </w:p>
        </w:tc>
      </w:tr>
      <w:tr>
        <w:trPr>
          <w:trHeight w:val="270" w:hRule="atLeast"/>
        </w:trPr>
        <w:tc>
          <w:tcPr>
            <w:tcW w:w="70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School Board Officers Report</w:t>
            </w:r>
          </w:p>
        </w:tc>
        <w:tc>
          <w:tcPr>
            <w:tcW w:w="41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November 1</w:t>
            </w:r>
          </w:p>
        </w:tc>
      </w:tr>
      <w:tr>
        <w:trPr>
          <w:trHeight w:val="270" w:hRule="atLeast"/>
        </w:trPr>
        <w:tc>
          <w:tcPr>
            <w:tcW w:w="70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Proposed Budget</w:t>
            </w:r>
          </w:p>
        </w:tc>
        <w:tc>
          <w:tcPr>
            <w:tcW w:w="41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March 15</w:t>
            </w:r>
          </w:p>
        </w:tc>
      </w:tr>
      <w:tr>
        <w:trPr>
          <w:trHeight w:val="270" w:hRule="atLeast"/>
        </w:trPr>
        <w:tc>
          <w:tcPr>
            <w:tcW w:w="70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Annual Audit Report</w:t>
            </w:r>
          </w:p>
        </w:tc>
        <w:tc>
          <w:tcPr>
            <w:tcW w:w="41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March 31</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99.2(3)</w:t>
      </w:r>
      <w:r>
        <w:rPr>
          <w:rFonts w:ascii="Times New Roman" w:hAnsi="Times New Roman"/>
          <w:b w:val="false"/>
          <w:i w:val="false"/>
          <w:color w:val="000000"/>
          <w:sz w:val="22"/>
        </w:rPr>
        <w:t> </w:t>
      </w:r>
      <w:r>
        <w:rPr>
          <w:rFonts w:ascii="Times New Roman" w:hAnsi="Times New Roman"/>
          <w:b w:val="false"/>
          <w:i w:val="false"/>
          <w:color w:val="000000"/>
          <w:sz w:val="22"/>
        </w:rPr>
        <w:t>If any plan, report, or data collection has not been received by the due date of the form or by the due date of a valid extension granted by the department of education, the following procedure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superintendent of the school district or the administrator of the area education agency, and the president of the applicable board, will be notified of the unfiled report and the number of days it is past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 board of education, the SBRC, or the Iowa board of educational examiners may be notified of the school districts or AEAs that were not timely in filing one or more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SBRC may implement the procedures described in </w:t>
      </w:r>
      <w:hyperlink r:id="rId8">
        <w:r>
          <w:rPr>
            <w:rStyle w:val="Hyperlink"/>
            <w:rFonts w:ascii="Times New Roman" w:hAnsi="Times New Roman"/>
            <w:b w:val="false"/>
            <w:i w:val="false"/>
            <w:color w:val="000000"/>
            <w:sz w:val="22"/>
          </w:rPr>
          <w:t>289—subrule 6.3(5)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7417C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281—99.3</w:t>
      </w:r>
      <w:r>
        <w:rPr>
          <w:rFonts w:ascii="Times New Roman" w:hAnsi="Times New Roman"/>
          <w:b/>
          <w:i w:val="false"/>
          <w:color w:val="000000"/>
          <w:sz w:val="22"/>
        </w:rPr>
        <w:t xml:space="preserve">(257) </w:t>
      </w:r>
      <w:r>
        <w:rPr>
          <w:rFonts w:ascii="Times New Roman" w:hAnsi="Times New Roman"/>
          <w:b/>
          <w:i w:val="false"/>
          <w:color w:val="000000"/>
          <w:sz w:val="22"/>
        </w:rPr>
        <w:t xml:space="preserve">Good cause for late submission.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of education may, upon request, allow a school district or AEA to submit reports, data collections, or program plans after the due dates listed in rule </w:t>
      </w:r>
      <w:hyperlink r:id="rId9">
        <w:r>
          <w:rPr>
            <w:rStyle w:val="Hyperlink"/>
            <w:rFonts w:ascii="Times New Roman" w:hAnsi="Times New Roman"/>
            <w:b w:val="false"/>
            <w:i w:val="false"/>
            <w:color w:val="000000"/>
            <w:sz w:val="22"/>
          </w:rPr>
          <w:t>281—99.2(256,257,285,291)</w:t>
        </w:r>
      </w:hyperlink>
      <w:r>
        <w:rPr>
          <w:rFonts w:ascii="Times New Roman" w:hAnsi="Times New Roman"/>
          <w:b w:val="false"/>
          <w:i w:val="false"/>
          <w:color w:val="000000"/>
          <w:sz w:val="22"/>
        </w:rPr>
        <w:t xml:space="preserve"> for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Good cause includes illness or death of a school district or AEA staff member involved in developing the program plan or submitting the report or data collection; acts of God; technological problems at the department lasting at least seven days within the final two weeks prior to the deadline that prevent access necessary for the plan, report, or data collection submission; or unforeseeable unusual or unique circumstances, which, in the opinion of the director of the department, constitute sufficient cause for allowing submission of program plans, reports, or data collections after the published due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Good cause does not include consequences of local time management or administrative decisions or when districts and AEAs have timed out or have encountered system overloads within the final three days before the due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99.3(2)</w:t>
      </w:r>
      <w:r>
        <w:rPr>
          <w:rFonts w:ascii="Times New Roman" w:hAnsi="Times New Roman"/>
          <w:b w:val="false"/>
          <w:i w:val="false"/>
          <w:color w:val="000000"/>
          <w:sz w:val="22"/>
        </w:rPr>
        <w:t> </w:t>
      </w:r>
      <w:r>
        <w:rPr>
          <w:rFonts w:ascii="Times New Roman" w:hAnsi="Times New Roman"/>
          <w:b w:val="false"/>
          <w:i w:val="false"/>
          <w:color w:val="000000"/>
          <w:sz w:val="22"/>
        </w:rPr>
        <w:t>A school district or AEA requesting permission to submit a program plan, report, or data collection after the published due date will notify the department staff member responsible for receiving the plan, report, or data collection as soon as possible upon determining that the district or AEA will not be able to meet the deadline, but no sooner than two weeks prior to the due date and no later than two days prior to the due date. When an extension of the submission deadline is allowed, the department will establish a date by which the school district or AEA will submit the plan, report, or data collection. Permission to submit a program plan, report, or data collection after the published due date expires upon receipt of the submission by the department and does not carry over into subsequent application or reporting cycles.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7417C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281—99.4</w:t>
      </w:r>
      <w:r>
        <w:rPr>
          <w:rFonts w:ascii="Times New Roman" w:hAnsi="Times New Roman"/>
          <w:b/>
          <w:i w:val="false"/>
          <w:color w:val="000000"/>
          <w:sz w:val="22"/>
        </w:rPr>
        <w:t xml:space="preserve">(24,256,257,291) </w:t>
      </w:r>
      <w:r>
        <w:rPr>
          <w:rFonts w:ascii="Times New Roman" w:hAnsi="Times New Roman"/>
          <w:b/>
          <w:i w:val="false"/>
          <w:color w:val="000000"/>
          <w:sz w:val="22"/>
        </w:rPr>
        <w:t xml:space="preserve">Budgets, accounting, and reporting. </w:t>
      </w:r>
      <w:r>
        <w:rPr>
          <w:rFonts w:ascii="Times New Roman" w:hAnsi="Times New Roman"/>
          <w:b w:val="false"/>
          <w:i w:val="false"/>
          <w:color w:val="000000"/>
          <w:sz w:val="22"/>
        </w:rPr>
        <w:t>The school district or AEA will budget on the GAAP basis of budgeting. School districts and AEAs will use the chart of accounts defined in the Uniform Financial Accounting Manual for Iowa LEAs and AEAs (UFA manual). The school district or AEA will maintain its financial records and prepare financial reports, including the Certified Annual Report, in the manner and by the procedures set by the departments of education and management in the UFA manual and GAAP. School districts and AEAs will use the chart of accounts defined in the UFA manual. The UFA manual is based on the Financial Accounting for Local and State School Systems published by the United States Department of Education, as of October 4, 2023. If GAAP permits a choice of reporting methods for transactions, or if GAAP conflicts with the UFA manual, the department of education staff will determine a uniform method of reporting to be used by all school districts and AEAs.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7417C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0">
        <w:r>
          <w:rPr>
            <w:rStyle w:val="Hyperlink"/>
            <w:rFonts w:ascii="Times New Roman" w:hAnsi="Times New Roman"/>
            <w:b w:val="false"/>
            <w:i w:val="false"/>
            <w:color w:val="000000"/>
            <w:sz w:val="22"/>
          </w:rPr>
          <w:t>24</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257</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285</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291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0013C</w:t>
      </w:r>
      <w:r>
        <w:rPr>
          <w:rFonts w:ascii="Times New Roman" w:hAnsi="Times New Roman"/>
          <w:b w:val="false"/>
          <w:i w:val="false"/>
          <w:color w:val="000000"/>
          <w:sz w:val="21"/>
        </w:rPr>
        <w:t xml:space="preserve"> (Notice ARC 9916B, IAB 12/14/11)</w:t>
      </w:r>
      <w:r>
        <w:rPr>
          <w:rFonts w:ascii="Times New Roman" w:hAnsi="Times New Roman"/>
          <w:b w:val="false"/>
          <w:i w:val="false"/>
          <w:color w:val="000000"/>
          <w:sz w:val="21"/>
        </w:rPr>
        <w:t>, IAB 2/22/12, effective 3/28/12]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3/21/12]</w:t>
      </w:r>
    </w:p>
    <w:p>
      <w:pPr>
        <w:spacing w:before="0" w:after="0"/>
        <w:ind w:left="120"/>
        <w:jc w:val="center"/>
      </w:pPr>
      <w:r>
        <w:rPr>
          <w:rFonts w:ascii="Times New Roman" w:hAnsi="Times New Roman"/>
          <w:b w:val="false"/>
          <w:i w:val="false"/>
          <w:color w:val="000000"/>
          <w:sz w:val="21"/>
        </w:rPr>
        <w:t>[Filed ARC 7417C</w:t>
      </w:r>
      <w:r>
        <w:rPr>
          <w:rFonts w:ascii="Times New Roman" w:hAnsi="Times New Roman"/>
          <w:b w:val="false"/>
          <w:i w:val="false"/>
          <w:color w:val="000000"/>
          <w:sz w:val="21"/>
        </w:rPr>
        <w:t xml:space="preserve"> (Notice ARC 7099C, IAB 10/4/23)</w:t>
      </w:r>
      <w:r>
        <w:rPr>
          <w:rFonts w:ascii="Times New Roman" w:hAnsi="Times New Roman"/>
          <w:b w:val="false"/>
          <w:i w:val="false"/>
          <w:color w:val="000000"/>
          <w:sz w:val="21"/>
        </w:rPr>
        <w:t>, IAB 12/27/23, effective 1/31/24]</w:t>
      </w:r>
    </w:p>
    <w:p>
      <w:pPr>
        <w:pBdr>
          <w:bottom w:space="2"/>
        </w:pBdr>
        <w:spacing w:before="0" w:after="0"/>
        <w:ind w:left="120"/>
        <w:jc w:val="both"/>
      </w:pPr>
      <w:r>
        <w:rPr>
          <w:rFonts w:ascii="Times New Roman" w:hAnsi="Times New Roman"/>
          <w:b w:val="false"/>
          <w:i w:val="false"/>
          <w:color w:val="000000"/>
          <w:sz w:val="22"/>
        </w:rPr>
        <w:t>March 28, 2012, effective date of Chapter 99 delayed 30 days by the Administrative Rules Review Committee at its meeting held March 12, 2012.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3.pdf" Type="http://schemas.openxmlformats.org/officeDocument/2006/relationships/hyperlink" Id="rId5"/>
    <Relationship TargetMode="External" Target="https://www.legis.iowa.gov/docs/ico/chapter/257.30.pdf" Type="http://schemas.openxmlformats.org/officeDocument/2006/relationships/hyperlink" Id="rId6"/>
    <Relationship TargetMode="External" Target="https://www.legis.iowa.gov/docs/ico/chapter/274.pdf" Type="http://schemas.openxmlformats.org/officeDocument/2006/relationships/hyperlink" Id="rId7"/>
    <Relationship TargetMode="External" Target="https://www.legis.iowa.gov/docs/iac/rule/289.6.3.pdf" Type="http://schemas.openxmlformats.org/officeDocument/2006/relationships/hyperlink" Id="rId8"/>
    <Relationship TargetMode="External" Target="https://www.legis.iowa.gov/docs/iac/rule/281.99.2.pdf" Type="http://schemas.openxmlformats.org/officeDocument/2006/relationships/hyperlink" Id="rId9"/>
    <Relationship TargetMode="External" Target="https://www.legis.iowa.gov/docs/ico/chapter/24.pdf" Type="http://schemas.openxmlformats.org/officeDocument/2006/relationships/hyperlink" Id="rId10"/>
    <Relationship TargetMode="External" Target="https://www.legis.iowa.gov/docs/ico/chapter/256.pdf" Type="http://schemas.openxmlformats.org/officeDocument/2006/relationships/hyperlink" Id="rId11"/>
    <Relationship TargetMode="External" Target="https://www.legis.iowa.gov/docs/ico/chapter/257.pdf" Type="http://schemas.openxmlformats.org/officeDocument/2006/relationships/hyperlink" Id="rId12"/>
    <Relationship TargetMode="External" Target="https://www.legis.iowa.gov/docs/ico/chapter/285.pdf" Type="http://schemas.openxmlformats.org/officeDocument/2006/relationships/hyperlink" Id="rId13"/>
    <Relationship TargetMode="External" Target="https://www.legis.iowa.gov/docs/ico/chapter/291.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