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95</w:t>
      </w:r>
    </w:p>
    <w:p>
      <w:pPr>
        <w:spacing w:before="0" w:after="0"/>
        <w:ind w:left="120"/>
        <w:jc w:val="center"/>
      </w:pPr>
      <w:r>
        <w:rPr>
          <w:rFonts w:ascii="Times New Roman" w:hAnsi="Times New Roman"/>
          <w:b w:val="false"/>
          <w:i w:val="false"/>
          <w:color w:val="000000"/>
          <w:sz w:val="21"/>
        </w:rPr>
        <w:t xml:space="preserve">EQUAL EMPLOYMENT OPPORTUNITY </w:t>
      </w:r>
      <w:r>
        <w:br/>
      </w:r>
      <w:r>
        <w:rPr>
          <w:rFonts w:ascii="Times New Roman" w:hAnsi="Times New Roman"/>
          <w:b w:val="false"/>
          <w:i w:val="false"/>
          <w:color w:val="000000"/>
          <w:sz w:val="21"/>
        </w:rPr>
        <w:t>AND AFFIRMATIVE ACTION IN EDUCATIONAL AGENCIES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1/31/29</w:t>
      </w:r>
    </w:p>
    <w:p>
      <w:pPr>
        <w:spacing w:before="0" w:after="0"/>
        <w:ind w:left="120"/>
        <w:jc w:val="both"/>
      </w:pPr>
      <w:r>
        <w:rPr>
          <w:rFonts w:ascii="Times New Roman" w:hAnsi="Times New Roman"/>
          <w:b/>
          <w:i w:val="false"/>
          <w:color w:val="000000"/>
          <w:sz w:val="22"/>
        </w:rPr>
        <w:t>281—95.1</w:t>
      </w:r>
      <w:r>
        <w:rPr>
          <w:rFonts w:ascii="Times New Roman" w:hAnsi="Times New Roman"/>
          <w:b/>
          <w:i w:val="false"/>
          <w:color w:val="000000"/>
          <w:sz w:val="22"/>
        </w:rPr>
        <w:t xml:space="preserve">(19B)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will be applied to the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“Affirmative action” </w:t>
      </w:r>
      <w:r>
        <w:rPr>
          <w:rFonts w:ascii="Times New Roman" w:hAnsi="Times New Roman"/>
          <w:b w:val="false"/>
          <w:i w:val="false"/>
          <w:color w:val="000000"/>
          <w:sz w:val="22"/>
        </w:rPr>
        <w:t>means action appropriate to overcome the effects of past or present practices, policies, or other barriers to equal employment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a local school district, an area education agency or 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“Availability” </w:t>
      </w:r>
      <w:r>
        <w:rPr>
          <w:rFonts w:ascii="Times New Roman" w:hAnsi="Times New Roman"/>
          <w:b w:val="false"/>
          <w:i w:val="false"/>
          <w:color w:val="000000"/>
          <w:sz w:val="22"/>
        </w:rPr>
        <w:t>means the extent to which members of a racial/ethnic group, women, men or persons with disabilities are present within the relevant labor market.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of education” </w:t>
      </w:r>
      <w:r>
        <w:rPr>
          <w:rFonts w:ascii="Times New Roman" w:hAnsi="Times New Roman"/>
          <w:b w:val="false"/>
          <w:i w:val="false"/>
          <w:color w:val="000000"/>
          <w:sz w:val="22"/>
        </w:rPr>
        <w:t>means the director of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“Equal employment opportunity” </w:t>
      </w:r>
      <w:r>
        <w:rPr>
          <w:rFonts w:ascii="Times New Roman" w:hAnsi="Times New Roman"/>
          <w:b w:val="false"/>
          <w:i w:val="false"/>
          <w:color w:val="000000"/>
          <w:sz w:val="22"/>
        </w:rPr>
        <w:t>means equal access to employment, training and advancement, or employment benefits regardless of race, creed, color, religion, sex, age, national origin and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“Metropolitan statistical area” </w:t>
      </w:r>
      <w:r>
        <w:rPr>
          <w:rFonts w:ascii="Times New Roman" w:hAnsi="Times New Roman"/>
          <w:b w:val="false"/>
          <w:i w:val="false"/>
          <w:color w:val="000000"/>
          <w:sz w:val="22"/>
        </w:rPr>
        <w:t>means a large population nucleus (over 50,000 persons) and nearby communities which have a high degree of economic and social integration with that nucleus. Each area consists of one or more entire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with a disability” </w:t>
      </w:r>
      <w:r>
        <w:rPr>
          <w:rFonts w:ascii="Times New Roman" w:hAnsi="Times New Roman"/>
          <w:b w:val="false"/>
          <w:i w:val="false"/>
          <w:color w:val="000000"/>
          <w:sz w:val="22"/>
        </w:rPr>
        <w:t xml:space="preserve">means any person who has a physical or mental impairment that substantially limits one or more major life activities, has a record of such impairment or is regarded as having such an impairment, as defined in Iowa Code section </w:t>
      </w:r>
      <w:hyperlink r:id="rId5">
        <w:r>
          <w:rPr>
            <w:rStyle w:val="Hyperlink"/>
            <w:rFonts w:ascii="Times New Roman" w:hAnsi="Times New Roman"/>
            <w:b w:val="false"/>
            <w:i w:val="false"/>
            <w:color w:val="000000"/>
            <w:sz w:val="22"/>
          </w:rPr>
          <w:t>216.2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“Racial/ethnic minority person” </w:t>
      </w:r>
      <w:r>
        <w:rPr>
          <w:rFonts w:ascii="Times New Roman" w:hAnsi="Times New Roman"/>
          <w:b w:val="false"/>
          <w:i w:val="false"/>
          <w:color w:val="000000"/>
          <w:sz w:val="22"/>
        </w:rPr>
        <w:t>means any person who is African American, Hispanic, Asian or Pacific Islander, American Indian or Alaskan 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“Relevant labor market” </w:t>
      </w:r>
      <w:r>
        <w:rPr>
          <w:rFonts w:ascii="Times New Roman" w:hAnsi="Times New Roman"/>
          <w:b w:val="false"/>
          <w:i w:val="false"/>
          <w:color w:val="000000"/>
          <w:sz w:val="22"/>
        </w:rPr>
        <w:t>means the geographic area in which an agency can reasonably be expected to recruit for a particular job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“Underrepresentation” </w:t>
      </w:r>
      <w:r>
        <w:rPr>
          <w:rFonts w:ascii="Times New Roman" w:hAnsi="Times New Roman"/>
          <w:b w:val="false"/>
          <w:i w:val="false"/>
          <w:color w:val="000000"/>
          <w:sz w:val="22"/>
        </w:rPr>
        <w:t>means having fewer members of a racial/ethnic group, women, men or persons with disabilities in a particular job category than would be reasonably expected based on their availability in the relevant labor market.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 force” </w:t>
      </w:r>
      <w:r>
        <w:rPr>
          <w:rFonts w:ascii="Times New Roman" w:hAnsi="Times New Roman"/>
          <w:b w:val="false"/>
          <w:i w:val="false"/>
          <w:color w:val="000000"/>
          <w:sz w:val="22"/>
        </w:rPr>
        <w:t>means an agency’s full-time and part-time employees.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7430C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281—95.2</w:t>
      </w:r>
      <w:r>
        <w:rPr>
          <w:rFonts w:ascii="Times New Roman" w:hAnsi="Times New Roman"/>
          <w:b/>
          <w:i w:val="false"/>
          <w:color w:val="000000"/>
          <w:sz w:val="22"/>
        </w:rPr>
        <w:t xml:space="preserve">(19B) </w:t>
      </w:r>
      <w:r>
        <w:rPr>
          <w:rFonts w:ascii="Times New Roman" w:hAnsi="Times New Roman"/>
          <w:b/>
          <w:i w:val="false"/>
          <w:color w:val="000000"/>
          <w:sz w:val="22"/>
        </w:rPr>
        <w:t xml:space="preserve">Equal employment opportunity standards. </w:t>
      </w:r>
      <w:r>
        <w:rPr>
          <w:rFonts w:ascii="Times New Roman" w:hAnsi="Times New Roman"/>
          <w:b w:val="false"/>
          <w:i w:val="false"/>
          <w:color w:val="000000"/>
          <w:sz w:val="22"/>
        </w:rPr>
        <w:t>An agency’s employment policies and practices shall provide equal employment opportunity to all persons. No person may be denied equal access to agency employment opportunities because of race, creed, color, religion, national origin, gender, age or disability.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7430C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281—95.3</w:t>
      </w:r>
      <w:r>
        <w:rPr>
          <w:rFonts w:ascii="Times New Roman" w:hAnsi="Times New Roman"/>
          <w:b/>
          <w:i w:val="false"/>
          <w:color w:val="000000"/>
          <w:sz w:val="22"/>
        </w:rPr>
        <w:t xml:space="preserve">(19B) </w:t>
      </w:r>
      <w:r>
        <w:rPr>
          <w:rFonts w:ascii="Times New Roman" w:hAnsi="Times New Roman"/>
          <w:b/>
          <w:i w:val="false"/>
          <w:color w:val="000000"/>
          <w:sz w:val="22"/>
        </w:rPr>
        <w:t xml:space="preserve">Duties of boards of directors. </w:t>
      </w:r>
      <w:r>
        <w:rPr>
          <w:rFonts w:ascii="Times New Roman" w:hAnsi="Times New Roman"/>
          <w:b w:val="false"/>
          <w:i w:val="false"/>
          <w:color w:val="000000"/>
          <w:sz w:val="22"/>
        </w:rPr>
        <w:t>Each agency’s board of directors will adopt policy statements and develop plans for implementation of equal employment opportunity standards and affirmative action programs, which contain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policy statement outlining the board of directors’ commitment to the principles of equal employment opportunity and affirmative action, which contain procedures for employees and applicants for employment to redress complaints of discrimination.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written equal employment opportunity and affirmative action plan, to be evaluated and updated on a biennial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Assignment of responsibility to an employee for coordinating the development and ongoing implementation of the plans. This employee may be the same employee who has been assigned to coordinate the agency’s efforts to comply with federal laws requiring nondiscrimination in educational programs and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Systematic input from diverse racial/ethnic groups, women, men and persons with disabilities into the development and implementation of the plans, which may include using existing advisory committees or public hearing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Periodic training for all staff who hire or supervise personnel on the principles of equal employment opportunity and the implementation of its affirmative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Maintenance of necessary records to document its affirmative action progress. An agency will report employment data to the department by racial/ethnic category, gender and disability.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7430C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281—95.4</w:t>
      </w:r>
      <w:r>
        <w:rPr>
          <w:rFonts w:ascii="Times New Roman" w:hAnsi="Times New Roman"/>
          <w:b/>
          <w:i w:val="false"/>
          <w:color w:val="000000"/>
          <w:sz w:val="22"/>
        </w:rPr>
        <w:t xml:space="preserve">(19B) </w:t>
      </w:r>
      <w:r>
        <w:rPr>
          <w:rFonts w:ascii="Times New Roman" w:hAnsi="Times New Roman"/>
          <w:b/>
          <w:i w:val="false"/>
          <w:color w:val="000000"/>
          <w:sz w:val="22"/>
        </w:rPr>
        <w:t xml:space="preserve">Plan components. </w:t>
      </w:r>
      <w:r>
        <w:rPr>
          <w:rFonts w:ascii="Times New Roman" w:hAnsi="Times New Roman"/>
          <w:b w:val="false"/>
          <w:i w:val="false"/>
          <w:color w:val="000000"/>
          <w:sz w:val="22"/>
        </w:rPr>
        <w:t>In addition to the board policy statement, each agency’s equal employment opportunity and affirmative action plan will include, at a minimum,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job title, address and phone number of the employee responsible for coordinating the development and implementation of the equal employment opportunity and affirmative action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administrative statement on how the agency’s equal employment opportunity and affirmative action policies and plans are to be implemented, including the internal system for auditing and reporting progress, to be signed and dated by the chief executive officer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work force analysis showing the numerical and percentage breakdown of the agency’s full-time and part-time employees within each major job category (consistent with the E.E.O. 5 and E.E.O. 6 occupational categories reported to the United States Equal Employment Opportunity Commission) by racial/ethnic group, gender, and disability. For the purpose of confidentiality, disability data may be based on total agency figures, rather than those of major job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quantitative analysis comparing work force analysis figures with the availability of qualified or qualifiable members of racial/ethnic groups, women, men and persons with disabilities within the relevant labor market.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underrepresentation is identified in one or more major job category, the agency will conduct a qualitative analysis to be included in the agency’s affirmative action plan. The qualitative analysis is a review of employment policies and practices to determine if and where those policies and practices tend to exclude, disadvantage, restrict or result in adverse impact on the basis of racial/ethnic origin, gender, or disability. The analysis may include, but is not limited to the review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Recruitment practices and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demographic study of the applicant pool and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rate and composition of turnover in major job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Trends in enrollment that will affect the size of the work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Application and application screening policies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Interview, selection, and placement policies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Transfer and promotion policies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Discipline, demotion, termination, and reduction in force policies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Employee assistance, training selection, and mentoring policies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impact of any collective bargaining agreement on equal employment opportunity and the affirmative action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Law, policies or practices external to the agency that may hinder success in equal employment opportunity and affirmative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95.4(2)</w:t>
      </w:r>
      <w:r>
        <w:rPr>
          <w:rFonts w:ascii="Times New Roman" w:hAnsi="Times New Roman"/>
          <w:b w:val="false"/>
          <w:i w:val="false"/>
          <w:color w:val="000000"/>
          <w:sz w:val="22"/>
        </w:rPr>
        <w:t> </w:t>
      </w:r>
      <w:r>
        <w:rPr>
          <w:rFonts w:ascii="Times New Roman" w:hAnsi="Times New Roman"/>
          <w:b w:val="false"/>
          <w:i/>
          <w:color w:val="000000"/>
          <w:sz w:val="22"/>
        </w:rPr>
        <w:t xml:space="preserve">Quantitative goals. </w:t>
      </w:r>
      <w:r>
        <w:rPr>
          <w:rFonts w:ascii="Times New Roman" w:hAnsi="Times New Roman"/>
          <w:b w:val="false"/>
          <w:i w:val="false"/>
          <w:color w:val="000000"/>
          <w:sz w:val="22"/>
        </w:rPr>
        <w:t>The agency will develop numerical goals and timetables for reduction of underrepresentation in each major job category where it has been identified. These goals are not rigid and inflexible quotas, but reasonable aspirations toward correcting imbalance in the agency’s work force. A goal shall not cause any group of applicants to be excluded from the hiring process. When setting numerical goals, agencies will take into consideration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numbers and percentages from the work force analysis conducted pursuant to subrule </w:t>
      </w:r>
      <w:hyperlink r:id="rId6">
        <w:r>
          <w:rPr>
            <w:rStyle w:val="Hyperlink"/>
            <w:rFonts w:ascii="Times New Roman" w:hAnsi="Times New Roman"/>
            <w:b w:val="false"/>
            <w:i w:val="false"/>
            <w:color w:val="000000"/>
            <w:sz w:val="22"/>
          </w:rPr>
          <w:t>95.4(1)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short- and long-term projected vacancies in the job category, considering turnover, layoffs, lateral transfers, new job openings, and retirements;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availability of qualified or qualifiable persons from underrepresented racial/ethnic, gender and disability categories within the relevant labor market;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makeup of the student population served by racial/ethnic origin, gender and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makeup of the population served by racial/ethnic origin, gender and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makeup of the population of the metropolitan statistical area, when applicable, by racial/ethnic origin, gender, and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95.4(3)</w:t>
      </w:r>
      <w:r>
        <w:rPr>
          <w:rFonts w:ascii="Times New Roman" w:hAnsi="Times New Roman"/>
          <w:b w:val="false"/>
          <w:i w:val="false"/>
          <w:color w:val="000000"/>
          <w:sz w:val="22"/>
        </w:rPr>
        <w:t> </w:t>
      </w:r>
      <w:r>
        <w:rPr>
          <w:rFonts w:ascii="Times New Roman" w:hAnsi="Times New Roman"/>
          <w:b w:val="false"/>
          <w:i/>
          <w:color w:val="000000"/>
          <w:sz w:val="22"/>
        </w:rPr>
        <w:t xml:space="preserve">Qualitative goals. </w:t>
      </w:r>
      <w:r>
        <w:rPr>
          <w:rFonts w:ascii="Times New Roman" w:hAnsi="Times New Roman"/>
          <w:b w:val="false"/>
          <w:i w:val="false"/>
          <w:color w:val="000000"/>
          <w:sz w:val="22"/>
        </w:rPr>
        <w:t>The agency will develop qualitative goals, activities and timetables which specify the appropriate actions and time frames in which problem areas identified during the qualitative analysis are targeted and remedied. In setting qualitative goals and planning actions, the agency may consider,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Broadening or targeting recruitment efforts;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Evaluating and validating criteria and instruments used in selecting applicants for interviews, employment, and promotion;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Providing equal employment opportunity, affirmative action, and intergroup relations training for employees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Developing a system of accountability for implementing the agency’s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Developing and implementing an employee assistance and mentoring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Establishing a work climate that is sensitive to diverse racial/ethnic groups, both women and men and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Negotiating the revision of collective bargaining agreements to facilitate equal employment opportunity and affirmative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95.4(4)</w:t>
      </w:r>
      <w:r>
        <w:rPr>
          <w:rFonts w:ascii="Times New Roman" w:hAnsi="Times New Roman"/>
          <w:b w:val="false"/>
          <w:i w:val="false"/>
          <w:color w:val="000000"/>
          <w:sz w:val="22"/>
        </w:rPr>
        <w:t> </w:t>
      </w:r>
      <w:r>
        <w:rPr>
          <w:rFonts w:ascii="Times New Roman" w:hAnsi="Times New Roman"/>
          <w:b w:val="false"/>
          <w:i/>
          <w:color w:val="000000"/>
          <w:sz w:val="22"/>
        </w:rPr>
        <w:t xml:space="preserve">Absence of minority base. </w:t>
      </w:r>
      <w:r>
        <w:rPr>
          <w:rFonts w:ascii="Times New Roman" w:hAnsi="Times New Roman"/>
          <w:b w:val="false"/>
          <w:i w:val="false"/>
          <w:color w:val="000000"/>
          <w:sz w:val="22"/>
        </w:rPr>
        <w:t>Agencies with no minority students enrolled or no minority employees shall develop goals and timetables for recruiting and hiring persons of minority racial/ethnic origin when those persons are available within the relevant labor market.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95.4(5)</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An agency may consolidate racial/ethnic minorities and job categories into broader groupings in conducting analyses under this chapter when its size or number of employees makes more specific categories impractical.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7430C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281—95.5</w:t>
      </w:r>
      <w:r>
        <w:rPr>
          <w:rFonts w:ascii="Times New Roman" w:hAnsi="Times New Roman"/>
          <w:b/>
          <w:i w:val="false"/>
          <w:color w:val="000000"/>
          <w:sz w:val="22"/>
        </w:rPr>
        <w:t xml:space="preserve">(19B) </w:t>
      </w:r>
      <w:r>
        <w:rPr>
          <w:rFonts w:ascii="Times New Roman" w:hAnsi="Times New Roman"/>
          <w:b/>
          <w:i w:val="false"/>
          <w:color w:val="000000"/>
          <w:sz w:val="22"/>
        </w:rPr>
        <w:t xml:space="preserve">Dissemination. </w:t>
      </w:r>
      <w:r>
        <w:rPr>
          <w:rFonts w:ascii="Times New Roman" w:hAnsi="Times New Roman"/>
          <w:b w:val="false"/>
          <w:i w:val="false"/>
          <w:color w:val="000000"/>
          <w:sz w:val="22"/>
        </w:rPr>
        <w:t>Each agency will adopt an internal and external system for disseminating its equal employment opportunity and affirmative action policies and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95.5(1)</w:t>
      </w:r>
      <w:r>
        <w:rPr>
          <w:rFonts w:ascii="Times New Roman" w:hAnsi="Times New Roman"/>
          <w:b w:val="false"/>
          <w:i w:val="false"/>
          <w:color w:val="000000"/>
          <w:sz w:val="22"/>
        </w:rPr>
        <w:t> </w:t>
      </w:r>
      <w:r>
        <w:rPr>
          <w:rFonts w:ascii="Times New Roman" w:hAnsi="Times New Roman"/>
          <w:b w:val="false"/>
          <w:i/>
          <w:color w:val="000000"/>
          <w:sz w:val="22"/>
        </w:rPr>
        <w:t xml:space="preserve">Plan distribution. </w:t>
      </w:r>
      <w:r>
        <w:rPr>
          <w:rFonts w:ascii="Times New Roman" w:hAnsi="Times New Roman"/>
          <w:b w:val="false"/>
          <w:i w:val="false"/>
          <w:color w:val="000000"/>
          <w:sz w:val="22"/>
        </w:rPr>
        <w:t>An agency will annually distribute its policies and plans to agency employees involved in the hiring or management of personnel, and the agency will make the policies and plans available to other agency employees, the public and the director of education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95.5(2)</w:t>
      </w:r>
      <w:r>
        <w:rPr>
          <w:rFonts w:ascii="Times New Roman" w:hAnsi="Times New Roman"/>
          <w:b w:val="false"/>
          <w:i w:val="false"/>
          <w:color w:val="000000"/>
          <w:sz w:val="22"/>
        </w:rPr>
        <w:t> </w:t>
      </w:r>
      <w:r>
        <w:rPr>
          <w:rFonts w:ascii="Times New Roman" w:hAnsi="Times New Roman"/>
          <w:b w:val="false"/>
          <w:i/>
          <w:color w:val="000000"/>
          <w:sz w:val="22"/>
        </w:rPr>
        <w:t xml:space="preserve">Policy statement distribution. </w:t>
      </w:r>
      <w:r>
        <w:rPr>
          <w:rFonts w:ascii="Times New Roman" w:hAnsi="Times New Roman"/>
          <w:b w:val="false"/>
          <w:i w:val="false"/>
          <w:color w:val="000000"/>
          <w:sz w:val="22"/>
        </w:rPr>
        <w:t>An agency will distribute its policy statement to all applicants for employment, and the agency will distribute the policy statement annually to employees, students, parents, and recruitment 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7430C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281—95.6</w:t>
      </w:r>
      <w:r>
        <w:rPr>
          <w:rFonts w:ascii="Times New Roman" w:hAnsi="Times New Roman"/>
          <w:b/>
          <w:i w:val="false"/>
          <w:color w:val="000000"/>
          <w:sz w:val="22"/>
        </w:rPr>
        <w:t xml:space="preserve">(19B) </w:t>
      </w:r>
      <w:r>
        <w:rPr>
          <w:rFonts w:ascii="Times New Roman" w:hAnsi="Times New Roman"/>
          <w:b/>
          <w:i w:val="false"/>
          <w:color w:val="000000"/>
          <w:sz w:val="22"/>
        </w:rPr>
        <w:t xml:space="preserve">Reports. </w:t>
      </w:r>
      <w:r>
        <w:rPr>
          <w:rFonts w:ascii="Times New Roman" w:hAnsi="Times New Roman"/>
          <w:b w:val="false"/>
          <w:i w:val="false"/>
          <w:color w:val="000000"/>
          <w:sz w:val="22"/>
        </w:rPr>
        <w:t>Each agency will submit an annual progress report on equal employment opportunity and affirmative action to its local board of directors. Each agency will submit its annual progress report under this chapter to the department by December 31 of each year. The report is a part of the basic educational data collection system administered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7430C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19B.11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10/26/89, Notice 5/17/89—published 11/15/89, effective 12/20/89]</w:t>
      </w:r>
    </w:p>
    <w:p>
      <w:pPr>
        <w:spacing w:before="0" w:after="0"/>
        <w:ind w:left="120"/>
        <w:jc w:val="center"/>
      </w:pPr>
      <w:r>
        <w:rPr>
          <w:rFonts w:ascii="Times New Roman" w:hAnsi="Times New Roman"/>
          <w:b w:val="false"/>
          <w:i w:val="false"/>
          <w:color w:val="000000"/>
          <w:sz w:val="21"/>
        </w:rPr>
        <w:t>[Filed 4/15/94, Notice 3/2/94—published 5/11/94, effective 6/15/94]</w:t>
      </w:r>
    </w:p>
    <w:p>
      <w:pPr>
        <w:spacing w:before="0" w:after="0"/>
        <w:ind w:left="120"/>
        <w:jc w:val="center"/>
      </w:pPr>
      <w:r>
        <w:rPr>
          <w:rFonts w:ascii="Times New Roman" w:hAnsi="Times New Roman"/>
          <w:b w:val="false"/>
          <w:i w:val="false"/>
          <w:color w:val="000000"/>
          <w:sz w:val="21"/>
        </w:rPr>
        <w:t>[Filed ARC 7430C</w:t>
      </w:r>
      <w:r>
        <w:rPr>
          <w:rFonts w:ascii="Times New Roman" w:hAnsi="Times New Roman"/>
          <w:b w:val="false"/>
          <w:i w:val="false"/>
          <w:color w:val="000000"/>
          <w:sz w:val="21"/>
        </w:rPr>
        <w:t xml:space="preserve"> (Notice ARC 7098C, IAB 10/4/23)</w:t>
      </w:r>
      <w:r>
        <w:rPr>
          <w:rFonts w:ascii="Times New Roman" w:hAnsi="Times New Roman"/>
          <w:b w:val="false"/>
          <w:i w:val="false"/>
          <w:color w:val="000000"/>
          <w:sz w:val="21"/>
        </w:rPr>
        <w:t>, IAB 12/27/23, effective 1/31/24]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6.2.pdf" Type="http://schemas.openxmlformats.org/officeDocument/2006/relationships/hyperlink" Id="rId5"/>
    <Relationship TargetMode="External" Target="https://www.legis.iowa.gov/docs/iac/rule/281.95.4.pdf" Type="http://schemas.openxmlformats.org/officeDocument/2006/relationships/hyperlink" Id="rId6"/>
    <Relationship TargetMode="External" Target="https://www.legis.iowa.gov/docs/ico/chapter/19B.1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