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TEACHER AND ADMINISTRATOR QUALITY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STANDARDS APPLICABLE TO BOTH ADMINISTRATOR AND TEACHER QUALITY PROGRAMS</w:t>
      </w:r>
    </w:p>
    <w:p>
      <w:pPr>
        <w:spacing w:before="0" w:after="0"/>
        <w:ind w:left="120"/>
        <w:jc w:val="both"/>
      </w:pPr>
      <w:r>
        <w:rPr>
          <w:rFonts w:ascii="Times New Roman" w:hAnsi="Times New Roman"/>
          <w:b/>
          <w:i w:val="false"/>
          <w:color w:val="000000"/>
          <w:sz w:val="22"/>
        </w:rPr>
        <w:t>281—83.1</w:t>
      </w:r>
      <w:r>
        <w:rPr>
          <w:rFonts w:ascii="Times New Roman" w:hAnsi="Times New Roman"/>
          <w:b/>
          <w:i w:val="false"/>
          <w:color w:val="000000"/>
          <w:sz w:val="22"/>
        </w:rPr>
        <w:t xml:space="preserve">(284,284A)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“school leader” </w:t>
      </w:r>
      <w:r>
        <w:rPr>
          <w:rFonts w:ascii="Times New Roman" w:hAnsi="Times New Roman"/>
          <w:b w:val="false"/>
          <w:i w:val="false"/>
          <w:color w:val="000000"/>
          <w:sz w:val="22"/>
        </w:rPr>
        <w:t xml:space="preserve">means the same as “administrator” as defined in Iowa Code section </w:t>
      </w:r>
      <w:hyperlink r:id="rId5">
        <w:r>
          <w:rPr>
            <w:rStyle w:val="Hyperlink"/>
            <w:rFonts w:ascii="Times New Roman" w:hAnsi="Times New Roman"/>
            <w:b w:val="false"/>
            <w:i w:val="false"/>
            <w:color w:val="000000"/>
            <w:sz w:val="22"/>
          </w:rPr>
          <w:t>284A.2</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administrator”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284A.2</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teacher”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(1). For purposes of the beginning teacher mentoring and induction program created pursuant to Iowa Code section </w:t>
      </w:r>
      <w:hyperlink r:id="rId8">
        <w:r>
          <w:rPr>
            <w:rStyle w:val="Hyperlink"/>
            <w:rFonts w:ascii="Times New Roman" w:hAnsi="Times New Roman"/>
            <w:b w:val="false"/>
            <w:i w:val="false"/>
            <w:color w:val="000000"/>
            <w:sz w:val="22"/>
          </w:rPr>
          <w:t>284.5</w:t>
        </w:r>
      </w:hyperlink>
      <w:r>
        <w:rPr>
          <w:rFonts w:ascii="Times New Roman" w:hAnsi="Times New Roman"/>
          <w:b w:val="false"/>
          <w:i w:val="false"/>
          <w:color w:val="000000"/>
          <w:sz w:val="22"/>
        </w:rPr>
        <w:t xml:space="preserve"> or in an approved career paths, leadership roles, and compensation framework or approved comparable system as provided in Iowa Code section </w:t>
      </w:r>
      <w:hyperlink r:id="rId9">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“beginning teacher” also includes preschool teachers who are licensed by the board of educational examiners under Iowa Code chapter </w:t>
      </w:r>
      <w:hyperlink r:id="rId10">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are employed by a school district or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evaluation” </w:t>
      </w:r>
      <w:r>
        <w:rPr>
          <w:rFonts w:ascii="Times New Roman" w:hAnsi="Times New Roman"/>
          <w:b w:val="false"/>
          <w:i w:val="false"/>
          <w:color w:val="000000"/>
          <w:sz w:val="22"/>
        </w:rPr>
        <w:t xml:space="preserve">means, with respect to a beginning teacher, the same as defined in Iowa Code section </w:t>
      </w:r>
      <w:hyperlink r:id="rId11">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(2). With respect to a beginning administrator, “comprehensive evaluation” means the same as defined in Iowa Code section </w:t>
      </w:r>
      <w:hyperlink r:id="rId12">
        <w:r>
          <w:rPr>
            <w:rStyle w:val="Hyperlink"/>
            <w:rFonts w:ascii="Times New Roman" w:hAnsi="Times New Roman"/>
            <w:b w:val="false"/>
            <w:i w:val="false"/>
            <w:color w:val="000000"/>
            <w:sz w:val="22"/>
          </w:rPr>
          <w:t>284A.2</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facilitator” </w:t>
      </w:r>
      <w:r>
        <w:rPr>
          <w:rFonts w:ascii="Times New Roman" w:hAnsi="Times New Roman"/>
          <w:b w:val="false"/>
          <w:i w:val="false"/>
          <w:color w:val="000000"/>
          <w:sz w:val="22"/>
        </w:rPr>
        <w:t>means an individual in Iowa who serves as a coordinator for a district mentoring and induction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“Evaluator”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assistance” </w:t>
      </w:r>
      <w:r>
        <w:rPr>
          <w:rFonts w:ascii="Times New Roman" w:hAnsi="Times New Roman"/>
          <w:b w:val="false"/>
          <w:i w:val="false"/>
          <w:color w:val="000000"/>
          <w:sz w:val="22"/>
        </w:rPr>
        <w:t>means the provision of organizational support and technical assistance to teachers, other than beginning teachers, for the remediation of identified teaching and classroom management concerns for a period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standards” </w:t>
      </w:r>
      <w:r>
        <w:rPr>
          <w:rFonts w:ascii="Times New Roman" w:hAnsi="Times New Roman"/>
          <w:b w:val="false"/>
          <w:i w:val="false"/>
          <w:color w:val="000000"/>
          <w:sz w:val="22"/>
        </w:rPr>
        <w:t xml:space="preserve">means the Iowa standards for school administrators adopted pursuant to Iowa Code section </w:t>
      </w:r>
      <w:hyperlink r:id="rId14">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 xml:space="preserve">means, with respect to a beginning teacher, the same as defined in Iowa Code section </w:t>
      </w:r>
      <w:hyperlink r:id="rId15">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(7). With respect to a beginning administrator, “mentor” means the same as defined in Iowa Code section </w:t>
      </w:r>
      <w:hyperlink r:id="rId16">
        <w:r>
          <w:rPr>
            <w:rStyle w:val="Hyperlink"/>
            <w:rFonts w:ascii="Times New Roman" w:hAnsi="Times New Roman"/>
            <w:b w:val="false"/>
            <w:i w:val="false"/>
            <w:color w:val="000000"/>
            <w:sz w:val="22"/>
          </w:rPr>
          <w:t>284A.2</w:t>
        </w:r>
      </w:hyperlink>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review”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SPECIFIC STANDARDS APPLICABLE TO TEACHER QUALITY PROGRAMS</w:t>
      </w:r>
    </w:p>
    <w:p>
      <w:pPr>
        <w:spacing w:before="0" w:after="0"/>
        <w:ind w:left="120"/>
        <w:jc w:val="both"/>
      </w:pPr>
      <w:r>
        <w:rPr>
          <w:rFonts w:ascii="Times New Roman" w:hAnsi="Times New Roman"/>
          <w:b/>
          <w:i w:val="false"/>
          <w:color w:val="000000"/>
          <w:sz w:val="22"/>
        </w:rPr>
        <w:t>281—83.2</w:t>
      </w:r>
      <w:r>
        <w:rPr>
          <w:rFonts w:ascii="Times New Roman" w:hAnsi="Times New Roman"/>
          <w:b/>
          <w:i w:val="false"/>
          <w:color w:val="000000"/>
          <w:sz w:val="22"/>
        </w:rPr>
        <w:t xml:space="preserve">(284) </w:t>
      </w:r>
      <w:r>
        <w:rPr>
          <w:rFonts w:ascii="Times New Roman" w:hAnsi="Times New Roman"/>
          <w:b/>
          <w:i w:val="false"/>
          <w:color w:val="000000"/>
          <w:sz w:val="22"/>
        </w:rPr>
        <w:t xml:space="preserve">Mentoring and induction program for beginning teachers.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83.2(1)</w:t>
      </w:r>
      <w:r>
        <w:rPr>
          <w:rFonts w:ascii="Times New Roman" w:hAnsi="Times New Roman"/>
          <w:b w:val="false"/>
          <w:i w:val="false"/>
          <w:color w:val="000000"/>
          <w:sz w:val="22"/>
        </w:rPr>
        <w:t> </w:t>
      </w:r>
      <w:r>
        <w:rPr>
          <w:rFonts w:ascii="Times New Roman" w:hAnsi="Times New Roman"/>
          <w:b w:val="false"/>
          <w:i/>
          <w:color w:val="000000"/>
          <w:sz w:val="22"/>
        </w:rPr>
        <w:t xml:space="preserve">Option one: beginning teacher mentoring and induction program. </w:t>
      </w:r>
      <w:r>
        <w:rPr>
          <w:rFonts w:ascii="Times New Roman" w:hAnsi="Times New Roman"/>
          <w:b w:val="false"/>
          <w:i w:val="false"/>
          <w:color w:val="000000"/>
          <w:sz w:val="22"/>
        </w:rPr>
        <w:t xml:space="preserve">Completion of a beginning teacher mentoring and induction program is one manner in which a beginning teacher may satisfy Iowa Code section </w:t>
      </w:r>
      <w:hyperlink r:id="rId20">
        <w:r>
          <w:rPr>
            <w:rStyle w:val="Hyperlink"/>
            <w:rFonts w:ascii="Times New Roman" w:hAnsi="Times New Roman"/>
            <w:b w:val="false"/>
            <w:i w:val="false"/>
            <w:color w:val="000000"/>
            <w:sz w:val="22"/>
          </w:rPr>
          <w:t>272.28</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districts and area education agencies may provide a beginning teacher mentoring and induction program for all beginning teachers as specified in Iowa Code section </w:t>
      </w:r>
      <w:hyperlink r:id="rId21">
        <w:r>
          <w:rPr>
            <w:rStyle w:val="Hyperlink"/>
            <w:rFonts w:ascii="Times New Roman" w:hAnsi="Times New Roman"/>
            <w:b w:val="false"/>
            <w:i w:val="false"/>
            <w:color w:val="000000"/>
            <w:sz w:val="22"/>
          </w:rPr>
          <w:t>284.5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area education agency may offer a teacher a third year of participation in the program if, after conducting a comprehensive evaluation, the school district or area education agency determines that the teacher is likely to successfully complete the mentoring and induction program by meeting the Iowa teaching standards by the end of the third year of eligibility. The third year of eligibility is offered at the employing district’s or area education agency’s expense. A teacher granted a third year of eligibility shall, in cooperation with the teacher’s evaluator, develop a plan to meet the Iowa teaching standards and district or area education agency career expectations. This plan will be implemented by the teacher and supported through the district’s or area education agency’s mentoring and induction program. The school district or area education agency will notify the board of educational examiners that the teacher will participate in a third year of the school district’s program. The teacher will undergo a comprehensive evaluation at the end of the third year. For purposes of comprehensive evaluations for beginning teachers, including the comprehensive evaluation necessary for the beginning teacher to progress to career teacher, the Iowa teaching standards and criteria are as described in rule </w:t>
      </w:r>
      <w:hyperlink r:id="rId22">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A school district or area education agency will participate in state program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Each school district or area education agency that offers a beginning teacher mentoring and induction program shall develop a sequential two-year beginning teacher mentoring and induction plan based on the Iowa teaching standards. A school district or area education agency will have the board adopt a beginning teacher mentoring and induction program plan and written procedures for the program. At the board’s discretion, the district or area education agency may choose to use or revise the model plan provided by the area education agency or develop a plan locally. The components of a district’s or area education agency’s beginning teacher mentoring and induction program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Goals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process for the selection of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mentor training process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consistent with effective staff development practices and adult professional needs to include skills needed for teaching, demonstration,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Addresses mentor needs, indicating a clear understanding of the role of the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in the mentor’s understanding of the personal and professional needs of new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the mentor with an understanding of the district expectations for beginning teacher competencies based on the Iowa teaching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Facilitates the mentor’s ability to provide guidance and support to new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supportive organizational structure for beginning teachers that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Activities that provide access and opportunities for interaction between a mentor and a beginning teacher that at a minimum provide: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Released time for a mentor and a beginning teacher to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demonstration of classroom practices;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observation of teaching;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selection process for who will be in the mentor/beginning teacher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Roles and responsibilities of the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evaluation process for the program,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evaluation of the district and area education agency program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evaluation process that provides for the minor and major program revisions,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process for how information about the program will be provided to interested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process for dissolving mentor and beginning teacher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plan that reflects the needs of the beginning teacher employed by the district or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Activities designed to support beginning teachers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enhancing competencies for the Iowa teaching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research-based instructional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if appropriated by the general assembly, received by a school district or area education agency from the beginning teacher mentoring and induction program will be used for any or all of the following purposes: to pay any applicable costs of the employer’s share of contributions to federal social security and the Iowa public employees’ retirement system for a pension and annuity retirement system established under Iowa Code chapter </w:t>
      </w:r>
      <w:hyperlink r:id="rId23">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for such amounts paid by the district or area education agency. These funds are miscellaneous funds or are considered encumbered. A school district or area education agency will maintain a separate listing within its budget for payments received and expenditures made for this program. Funds that remain unencumbered or unobligated at the end of the fiscal year will not revert but will remain available for expenditure for the purposes of the program until the close of the succeeding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w:t>
      </w:r>
      <w:r>
        <w:rPr>
          <w:rFonts w:ascii="Times New Roman" w:hAnsi="Times New Roman"/>
          <w:b w:val="false"/>
          <w:i w:val="false"/>
          <w:color w:val="000000"/>
          <w:sz w:val="22"/>
        </w:rPr>
        <w:t> </w:t>
      </w:r>
      <w:r>
        <w:rPr>
          <w:rFonts w:ascii="Times New Roman" w:hAnsi="Times New Roman"/>
          <w:b w:val="false"/>
          <w:i/>
          <w:color w:val="000000"/>
          <w:sz w:val="22"/>
        </w:rPr>
        <w:t xml:space="preserve">Option two: teacher leadership and compensation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Two years of successful teaching experience in a school district with an approved career paths, leadership roles, and compensation framework or approved comparable system as provided in Iowa Code section </w:t>
      </w:r>
      <w:hyperlink r:id="rId24">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(“framework for beginning teachers” for purposes of this rule) is one manner in which a beginning teacher may satisfy Iowa Code section </w:t>
      </w:r>
      <w:hyperlink r:id="rId25">
        <w:r>
          <w:rPr>
            <w:rStyle w:val="Hyperlink"/>
            <w:rFonts w:ascii="Times New Roman" w:hAnsi="Times New Roman"/>
            <w:b w:val="false"/>
            <w:i w:val="false"/>
            <w:color w:val="000000"/>
            <w:sz w:val="22"/>
          </w:rPr>
          <w:t>272.28(1)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 xml:space="preserve">School districts may provide an approved career paths, leadership roles, and compensation framework or approved comparable system as provided in Iowa Code section </w:t>
      </w:r>
      <w:hyperlink r:id="rId26">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A beginning teacher, as defined in this chapter, shall be informed by the school district, prior to the beginning teacher’s participation in a framework for beginning teachers, of the Iowa teaching standards and criteria upon which the beginning teacher will be evaluated and of the evaluation process utilized by the school district. The beginning teacher will be supported by the teacher leadership and compensation program as defined in part 4 of the submitted plan. The beginning teacher will be comprehensively evaluated by the end of the beginning teacher’s second year of teaching to determine whether the teacher meets expectations to move to the career level. The school district will recommend for a standard license a beginning teacher who has successfully met the Iowa teaching standards as determined by a comprehensive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beginning teacher who is participating in a framework for beginning teachers leaves the employ of a school district prior to completion of the framework, the school district or area education agency subsequently hiring the beginning teacher will credit the beginning teacher with the time earned in such a framework prior to the subsequent hiring.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district may offer a teacher a third year of participation in a framework for beginning teachers if, after conducting a comprehensive evaluation, the school district determines that the teacher is likely to successfully meet the Iowa teaching standards by the end of the third year of eligibility. The third year of eligibility is offered at the employing district’s expense. A teacher granted a third year of eligibility shall, in cooperation with the teacher’s evaluator, develop a plan to meet the Iowa teaching standards and district or area education agency career expectations. This plan will be implemented by the teacher and supported through the district’s framework for beginning teachers. The school district shall notify the board of educational examiners that the teacher will participate in a third year of the school district’s framework for beginning teachers. The teacher is to undergo a comprehensive evaluation at the end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comprehensive evaluations for beginning teachers, including the comprehensive evaluation necessary for the beginning teacher to progress to career teacher, the Iowa teaching standards and criteria are as described in rule </w:t>
      </w:r>
      <w:hyperlink r:id="rId27">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A school district shall participate in state program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assurances. </w:t>
      </w:r>
      <w:r>
        <w:rPr>
          <w:rFonts w:ascii="Times New Roman" w:hAnsi="Times New Roman"/>
          <w:b w:val="false"/>
          <w:i w:val="false"/>
          <w:color w:val="000000"/>
          <w:sz w:val="22"/>
        </w:rPr>
        <w:t xml:space="preserve">Each school district that offers a framework under Iowa Code sections </w:t>
      </w:r>
      <w:hyperlink r:id="rId28">
        <w:r>
          <w:rPr>
            <w:rStyle w:val="Hyperlink"/>
            <w:rFonts w:ascii="Times New Roman" w:hAnsi="Times New Roman"/>
            <w:b w:val="false"/>
            <w:i w:val="false"/>
            <w:color w:val="000000"/>
            <w:sz w:val="22"/>
          </w:rPr>
          <w:t>284.15 through 284.17</w:t>
        </w:r>
      </w:hyperlink>
      <w:r>
        <w:rPr>
          <w:rFonts w:ascii="Times New Roman" w:hAnsi="Times New Roman"/>
          <w:b w:val="false"/>
          <w:i w:val="false"/>
          <w:color w:val="000000"/>
          <w:sz w:val="22"/>
        </w:rPr>
        <w:t xml:space="preserve"> and uses it for purposes of meeting the school district’s obligations to beginning teachers is to provide assurances to the department that the district’s framework for beginning teachers satisfies those Iowa Code sections and attends to the Iowa teaching standards and criteria described in rule </w:t>
      </w:r>
      <w:hyperlink r:id="rId29">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Inapplicability to area education agencies. </w:t>
      </w:r>
      <w:r>
        <w:rPr>
          <w:rFonts w:ascii="Times New Roman" w:hAnsi="Times New Roman"/>
          <w:b w:val="false"/>
          <w:i w:val="false"/>
          <w:color w:val="000000"/>
          <w:sz w:val="22"/>
        </w:rPr>
        <w:t xml:space="preserve">This subrule is not applicable to area education agencies. Only subrule </w:t>
      </w:r>
      <w:hyperlink r:id="rId30">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is applicable to area education agencies; however, a teacher employed by an area education agency may be included in a framework or comparable system established by a school district if the area education agency and the school district enter into a contract for such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281—83.3</w:t>
      </w:r>
      <w:r>
        <w:rPr>
          <w:rFonts w:ascii="Times New Roman" w:hAnsi="Times New Roman"/>
          <w:b/>
          <w:i w:val="false"/>
          <w:color w:val="000000"/>
          <w:sz w:val="22"/>
        </w:rPr>
        <w:t xml:space="preserve">(284) </w:t>
      </w:r>
      <w:r>
        <w:rPr>
          <w:rFonts w:ascii="Times New Roman" w:hAnsi="Times New Roman"/>
          <w:b/>
          <w:i w:val="false"/>
          <w:color w:val="000000"/>
          <w:sz w:val="22"/>
        </w:rPr>
        <w:t xml:space="preserve">Iowa teaching standards and criteria. </w:t>
      </w:r>
      <w:r>
        <w:rPr>
          <w:rFonts w:ascii="Times New Roman" w:hAnsi="Times New Roman"/>
          <w:b w:val="false"/>
          <w:i w:val="false"/>
          <w:color w:val="000000"/>
          <w:sz w:val="22"/>
        </w:rPr>
        <w:t xml:space="preserve">Rule </w:t>
      </w:r>
      <w:hyperlink r:id="rId31">
        <w:r>
          <w:rPr>
            <w:rStyle w:val="Hyperlink"/>
            <w:rFonts w:ascii="Times New Roman" w:hAnsi="Times New Roman"/>
            <w:b w:val="false"/>
            <w:i w:val="false"/>
            <w:color w:val="000000"/>
            <w:sz w:val="22"/>
          </w:rPr>
          <w:t>281—83.4(284)</w:t>
        </w:r>
      </w:hyperlink>
      <w:r>
        <w:rPr>
          <w:rFonts w:ascii="Times New Roman" w:hAnsi="Times New Roman"/>
          <w:b w:val="false"/>
          <w:i w:val="false"/>
          <w:color w:val="000000"/>
          <w:sz w:val="22"/>
        </w:rPr>
        <w:t>, as in effect on April 9, 2024, remains applicable until July 1, 2024. The Iowa teaching standards and supporting criteria provide Iowa school districts and area education agencies with a consistent representation of the complexity and the possibilities of quality teaching. The standards serve as the basis for comprehensive evaluations of teachers and as a basis for professional development plans. Each standard with supporting criteria is outlined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val="false"/>
          <w:color w:val="000000"/>
          <w:sz w:val="22"/>
        </w:rPr>
        <w:t>Demonstrates ability to enhance academic performance and support for and implementation of the school district’s student achievement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multiple forms of evidence of student learning and growth to students, families,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Implements strategies supporting student, building, and district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Uses student performance data as a guide for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Accepts and demonstrates responsibility for creating a classroom culture that supports the learning of every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an environment of mutual respect, rapport, and fairness.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Participates in and contributes to a school culture that focuses on improved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Communicates with students, families, colleagues, and communities effectively and accurately.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Uses knowledge and understanding of the area education agency’s mission, goals, and strategic priorities to provide services that enhance academic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Understands and uses knowledge of area education agency and district goals and data to provide services that enhance academic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Participates in and contributes to a positive learning 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Communicates with students, families, colleagues, and communities effectively and accurately.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Uses area education agency, district, and student data as a guide for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val="false"/>
          <w:color w:val="000000"/>
          <w:sz w:val="22"/>
        </w:rPr>
        <w:t>Demonstrates competence in content knowledge appropriate to the teaching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Understands and uses key concepts, underlying themes, relationships, and different perspectives related to the content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Uses knowledge of student development to make learning experiences in the content area meaningful and accessible for every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Relates ideas and information within and across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Understands and uses instructional strategies that are appropriate to the content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Understands, communicates, and uses key concepts and best practice in fulfillment of area education agency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Uses knowledge of child and adolescent development and of adult learning to make interventions and strategies meaningful, relevant, and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Relates professional knowledge and services within and across multiple content and discipline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Understands and supports strategies and interventions that are best practice across content and discipline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val="false"/>
          <w:color w:val="000000"/>
          <w:sz w:val="22"/>
        </w:rPr>
        <w:t>Demonstrates competence in planning and preparing for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Uses student achievement data, local standards, and the district curriculum in planning for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and communicates high expectations for social, behavioral, and academic success of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Uses students’ developmental needs, backgrounds, and interests in planning for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Selects strategies to engage all students in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Uses available resources, including technology, in the development and sequencing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the ability to organize and prioritize time, resources,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Demonstrates the ability to individually and collaboratively plan and prepare professional services that address the range of district, teacher, parent, and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Uses district and student data to develop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the flexibility to plan for professional services based on changing conditions of the work context and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Uses available resources, including technology, to plan and develop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83.3(4)</w:t>
      </w:r>
      <w:r>
        <w:rPr>
          <w:rFonts w:ascii="Times New Roman" w:hAnsi="Times New Roman"/>
          <w:b w:val="false"/>
          <w:i w:val="false"/>
          <w:color w:val="000000"/>
          <w:sz w:val="22"/>
        </w:rPr>
        <w:t> </w:t>
      </w:r>
      <w:r>
        <w:rPr>
          <w:rFonts w:ascii="Times New Roman" w:hAnsi="Times New Roman"/>
          <w:b w:val="false"/>
          <w:i w:val="false"/>
          <w:color w:val="000000"/>
          <w:sz w:val="22"/>
        </w:rPr>
        <w:t>Uses strategies to deliver instruction that meets the multiple learning needs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Aligns classroom instruction with local standards and district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Uses research-based instructional strategies that address the full range of cognitive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Demonstrates flexibility and responsiveness in adjusting instruction to meet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Engages students in varied experiences that meet diverse needs and promote social, emotional, and academic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Connects students’ prior knowledge, life experiences, and interests in the instructional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Uses available resources, including technology, in the delivery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Aligns service delivery to district, teacher, parent, and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consultation, instruction, interventions, and strategies that align with learner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Demonstrates flexibility and responsiveness in adjusting services to meet diverse learner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Uses and supports research-based and evidence-based practices to meet learner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Uses available resources, including technology, to provide professional services that meet learner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83.3(5)</w:t>
      </w:r>
      <w:r>
        <w:rPr>
          <w:rFonts w:ascii="Times New Roman" w:hAnsi="Times New Roman"/>
          <w:b w:val="false"/>
          <w:i w:val="false"/>
          <w:color w:val="000000"/>
          <w:sz w:val="22"/>
        </w:rPr>
        <w:t> </w:t>
      </w:r>
      <w:r>
        <w:rPr>
          <w:rFonts w:ascii="Times New Roman" w:hAnsi="Times New Roman"/>
          <w:b w:val="false"/>
          <w:i w:val="false"/>
          <w:color w:val="000000"/>
          <w:sz w:val="22"/>
        </w:rPr>
        <w:t>Uses a variety of methods to monitor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Aligns classroom assessment with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Communicates assessment criteria and standards to all students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Understands and uses the results of multiple assessments to guide planning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Guides students in goal setting and assessing their own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substantive, timely, and constructive feedback to students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Works with other staff and building and district leadership in analysis of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Uses appropriate assessment, data collection, and data analysis methods that support alignment of services with learner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Works collaboratively within the learning community to establish measurable goals and to identify formative and summative methods to monitor progress and the quality of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Communicates the rationale and criteria of assessment and monitoring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Elicits and provides timely and quality feedback on assessment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83.3(6)</w:t>
      </w:r>
      <w:r>
        <w:rPr>
          <w:rFonts w:ascii="Times New Roman" w:hAnsi="Times New Roman"/>
          <w:b w:val="false"/>
          <w:i w:val="false"/>
          <w:color w:val="000000"/>
          <w:sz w:val="22"/>
        </w:rPr>
        <w:t> </w:t>
      </w:r>
      <w:r>
        <w:rPr>
          <w:rFonts w:ascii="Times New Roman" w:hAnsi="Times New Roman"/>
          <w:b w:val="false"/>
          <w:i w:val="false"/>
          <w:color w:val="000000"/>
          <w:sz w:val="22"/>
        </w:rPr>
        <w:t>Demonstrates competence in classroom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Creates a learning community that encourages positive social interaction, active engagement, and self-regulation for every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communicates, models, and maintains standards of responsible student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Develops and implements classroom procedures and routines that support high expectations for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Uses instructional time effectively to maximize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 safe and purposeful learning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Models respectful dialogue and behaviors within and across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Promotes and maintains a positive, safe, and productive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Works collaboratively and is flexible.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Communicates accurately and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83.3(7)</w:t>
      </w:r>
      <w:r>
        <w:rPr>
          <w:rFonts w:ascii="Times New Roman" w:hAnsi="Times New Roman"/>
          <w:b w:val="false"/>
          <w:i w:val="false"/>
          <w:color w:val="000000"/>
          <w:sz w:val="22"/>
        </w:rPr>
        <w:t> </w:t>
      </w:r>
      <w:r>
        <w:rPr>
          <w:rFonts w:ascii="Times New Roman" w:hAnsi="Times New Roman"/>
          <w:b w:val="false"/>
          <w:i w:val="false"/>
          <w:color w:val="000000"/>
          <w:sz w:val="22"/>
        </w:rPr>
        <w:t>Engages in professional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habits and skills of continuous inquiry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Works collaboratively to improve professional practice and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Applies research, knowledge, and skills from professional development opportunities to improve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Establishes and implements professional development plans based upon the teacher’s needs aligned to the Iowa teaching standards and district/building student achievement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an analysis of student learning and growth based on teacher-created tests and authentic measures as well as any standardized and districtwide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habits and skills of continuous inquiry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Works collaboratively to improve professional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Applies and shares research, knowledge, and skills from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Establishes and implements professional development plans aligned to area education agency, district, and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83.3(8)</w:t>
      </w:r>
      <w:r>
        <w:rPr>
          <w:rFonts w:ascii="Times New Roman" w:hAnsi="Times New Roman"/>
          <w:b w:val="false"/>
          <w:i w:val="false"/>
          <w:color w:val="000000"/>
          <w:sz w:val="22"/>
        </w:rPr>
        <w:t> </w:t>
      </w:r>
      <w:r>
        <w:rPr>
          <w:rFonts w:ascii="Times New Roman" w:hAnsi="Times New Roman"/>
          <w:b w:val="false"/>
          <w:i w:val="false"/>
          <w:color w:val="000000"/>
          <w:sz w:val="22"/>
        </w:rPr>
        <w:t>Fulfills professional responsibilities established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Adheres to board policies, district procedures, and contractual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Demonstrates professional and ethical conduct as defined by state law and district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Contributes to efforts to achieve district and building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an understanding of and respect for all learners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Collaborates with students, families, colleagues, and communities to enhance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criteria for area education agency staff who meet the definition of “teacher” are described herein. The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Adheres to board policies, area education agency procedures, federal and state rules, and contractual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Demonstrates professional and ethical conduct as defined by state law and area education agency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Contributes to efforts to achieve area education agency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an understanding of and respect for all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Collaborates with all learners.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83.3(9)</w:t>
      </w:r>
      <w:r>
        <w:rPr>
          <w:rFonts w:ascii="Times New Roman" w:hAnsi="Times New Roman"/>
          <w:b w:val="false"/>
          <w:i w:val="false"/>
          <w:color w:val="000000"/>
          <w:sz w:val="22"/>
        </w:rPr>
        <w:t> </w:t>
      </w:r>
      <w:r>
        <w:rPr>
          <w:rFonts w:ascii="Times New Roman" w:hAnsi="Times New Roman"/>
          <w:b w:val="false"/>
          <w:i w:val="false"/>
          <w:color w:val="000000"/>
          <w:sz w:val="22"/>
        </w:rPr>
        <w:t>The school board will provide comprehensive evaluations for beginning teachers using the Iowa teaching standards and criteria listed in this rule. The school board, for the purposes of performance reviews for teachers other than beginning teachers, will provide evaluations that contain, at a minimum, the Iowa teaching standards and criteria listed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281—83.4</w:t>
      </w:r>
      <w:r>
        <w:rPr>
          <w:rFonts w:ascii="Times New Roman" w:hAnsi="Times New Roman"/>
          <w:b/>
          <w:i w:val="false"/>
          <w:color w:val="000000"/>
          <w:sz w:val="22"/>
        </w:rPr>
        <w:t xml:space="preserve">(284) </w:t>
      </w:r>
      <w:r>
        <w:rPr>
          <w:rFonts w:ascii="Times New Roman" w:hAnsi="Times New Roman"/>
          <w:b/>
          <w:i w:val="false"/>
          <w:color w:val="000000"/>
          <w:sz w:val="22"/>
        </w:rPr>
        <w:t xml:space="preserve">Evaluator approval training. </w:t>
      </w:r>
      <w:r>
        <w:rPr>
          <w:rFonts w:ascii="Times New Roman" w:hAnsi="Times New Roman"/>
          <w:b w:val="false"/>
          <w:i w:val="false"/>
          <w:color w:val="000000"/>
          <w:sz w:val="22"/>
        </w:rPr>
        <w:t xml:space="preserve">The department will approve eligible providers and their programs to conduct evaluator training. Only individuals certified through programs approved by the department qualify for evaluator certification by the board of educational examiners. A beginning teacher who has evaluator certification from the board of educational examiners shall not evaluate other teachers until the beginning teacher is no longer a probationary employee. Approved evaluator training programs are designed to align with the Iowa teaching standards and criteria, provide evaluators with the skills to conduct comprehensive evaluations and performance reviews pursuant to Iowa Code chapter </w:t>
      </w:r>
      <w:hyperlink r:id="rId32">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and provide for the evaluation of the progress made on individual professional development plans. This training for evaluators is to incorporate components of theory, demonstration, practice, and application of evaluation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providers of evaluator approval training. </w:t>
      </w:r>
      <w:r>
        <w:rPr>
          <w:rFonts w:ascii="Times New Roman" w:hAnsi="Times New Roman"/>
          <w:b w:val="false"/>
          <w:i w:val="false"/>
          <w:color w:val="000000"/>
          <w:sz w:val="22"/>
        </w:rPr>
        <w:t>Eligible applications for the provision of evaluator approval training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that addresses participant skill development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quality instruction and practices based on the Iowa teaching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multiple forms of data collection for identifying and supporting performance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understanding and development of conferencing and feedback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development of skills in data-based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evaluator approval training process design provides training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used to deliver the training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developed to certify the skill attainment of the evaluator being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Staff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the provider’s expertise in evaluation design and training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Provisions for leadership to support and implement ongoing professional development focused on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that evaluates the effectiveness of the implementation of the training process and demonstrates that the trainees have attained the knowledge and skills as described in paragraph </w:t>
      </w:r>
      <w:hyperlink r:id="rId33">
        <w:r>
          <w:rPr>
            <w:rStyle w:val="Hyperlink"/>
            <w:rFonts w:ascii="Times New Roman" w:hAnsi="Times New Roman"/>
            <w:b w:val="false"/>
            <w:i w:val="false"/>
            <w:color w:val="000000"/>
            <w:sz w:val="22"/>
          </w:rPr>
          <w:t>83.4(1)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evaluation will be conducted on an annual basis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w:t>
      </w:r>
      <w:r>
        <w:rPr>
          <w:rFonts w:ascii="Times New Roman" w:hAnsi="Times New Roman"/>
          <w:b w:val="false"/>
          <w:i w:val="false"/>
          <w:color w:val="000000"/>
          <w:sz w:val="22"/>
        </w:rPr>
        <w:t> </w:t>
      </w:r>
      <w:r>
        <w:rPr>
          <w:rFonts w:ascii="Times New Roman" w:hAnsi="Times New Roman"/>
          <w:b w:val="false"/>
          <w:i/>
          <w:color w:val="000000"/>
          <w:sz w:val="22"/>
        </w:rPr>
        <w:t xml:space="preserve">Process used for the approval of evaluator approval training program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providers will apply on forms prescribed by the department. Applications for new providers will be accepted and reviewed by the department by July 1 of each year. A review panel will be convened to review applications for evaluator approval training programs based on subrule </w:t>
      </w:r>
      <w:hyperlink r:id="rId34">
        <w:r>
          <w:rPr>
            <w:rStyle w:val="Hyperlink"/>
            <w:rFonts w:ascii="Times New Roman" w:hAnsi="Times New Roman"/>
            <w:b w:val="false"/>
            <w:i w:val="false"/>
            <w:color w:val="000000"/>
            <w:sz w:val="22"/>
          </w:rPr>
          <w:t>83.4(1)</w:t>
        </w:r>
      </w:hyperlink>
      <w:r>
        <w:rPr>
          <w:rFonts w:ascii="Times New Roman" w:hAnsi="Times New Roman"/>
          <w:b w:val="false"/>
          <w:i w:val="false"/>
          <w:color w:val="000000"/>
          <w:sz w:val="22"/>
        </w:rPr>
        <w:t>. The panel will recommend for approval and the department will approve the evaluator approval training programs that satisfy that subrule. Applicants will be notified of their status within 30 days of the application deadline. An approved list of private providers will be maintained on the department website with an annual notification to school districts and area education agencies of the website address that contains provider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providers may be public or private entities, including school districts, consortia, and other public or private entities, including professional organizations. Applicants are to meet all applicable federal, state, and local health, safety and civil rights laws. Higher education administrative practitioner preparation institutions are to meet the review process through the state board approval and accreditation process for these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w:t>
      </w:r>
      <w:r>
        <w:rPr>
          <w:rFonts w:ascii="Times New Roman" w:hAnsi="Times New Roman"/>
          <w:b w:val="false"/>
          <w:i w:val="false"/>
          <w:color w:val="000000"/>
          <w:sz w:val="22"/>
        </w:rPr>
        <w:t> </w:t>
      </w:r>
      <w:r>
        <w:rPr>
          <w:rFonts w:ascii="Times New Roman" w:hAnsi="Times New Roman"/>
          <w:b w:val="false"/>
          <w:i/>
          <w:color w:val="000000"/>
          <w:sz w:val="22"/>
        </w:rPr>
        <w:t xml:space="preserve">Local teacher evaluation plans. </w:t>
      </w:r>
      <w:r>
        <w:rPr>
          <w:rFonts w:ascii="Times New Roman" w:hAnsi="Times New Roman"/>
          <w:b w:val="false"/>
          <w:i w:val="false"/>
          <w:color w:val="000000"/>
          <w:sz w:val="22"/>
        </w:rPr>
        <w:t>Local districts and area education agencies will develop and implement a teacher evaluation plan that contains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the Iowa teaching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for the comprehensive evaluation of beginning teachers that include a review of the teacher’s progress on the Iowa teaching standards as set forth in rule </w:t>
      </w:r>
      <w:hyperlink r:id="rId35">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xml:space="preserve"> and the use of the comprehensive evaluation instrument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reviews of the performance of teachers other than beginning teachers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once every three years by an evaluator to include, at a minimum, classroom observation of the teacher, a review of the teacher’s progress on the Iowa teaching standards as set forth in rule </w:t>
      </w:r>
      <w:hyperlink r:id="rId36">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xml:space="preserve"> and additional standards and criteria if established under subrule </w:t>
      </w:r>
      <w:hyperlink r:id="rId37">
        <w:r>
          <w:rPr>
            <w:rStyle w:val="Hyperlink"/>
            <w:rFonts w:ascii="Times New Roman" w:hAnsi="Times New Roman"/>
            <w:b w:val="false"/>
            <w:i w:val="false"/>
            <w:color w:val="000000"/>
            <w:sz w:val="22"/>
          </w:rPr>
          <w:t>83.3(9)</w:t>
        </w:r>
      </w:hyperlink>
      <w:r>
        <w:rPr>
          <w:rFonts w:ascii="Times New Roman" w:hAnsi="Times New Roman"/>
          <w:b w:val="false"/>
          <w:i w:val="false"/>
          <w:color w:val="000000"/>
          <w:sz w:val="22"/>
        </w:rPr>
        <w:t>, a review of the implementation of the teacher’s individual professional development plan, and supporting documentation from other evaluators, teachers, parents, and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annually, other than the third-year review by an evaluator, by a peer group of teachers in accordance with Iowa Code section </w:t>
      </w:r>
      <w:hyperlink r:id="rId38">
        <w:r>
          <w:rPr>
            <w:rStyle w:val="Hyperlink"/>
            <w:rFonts w:ascii="Times New Roman" w:hAnsi="Times New Roman"/>
            <w:b w:val="false"/>
            <w:i w:val="false"/>
            <w:color w:val="000000"/>
            <w:sz w:val="22"/>
          </w:rPr>
          <w:t>284.8</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individual professional development plans for teachers other than beginning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for an intensive assistance program as provided in Iowa Code section </w:t>
      </w:r>
      <w:hyperlink r:id="rId39">
        <w:r>
          <w:rPr>
            <w:rStyle w:val="Hyperlink"/>
            <w:rFonts w:ascii="Times New Roman" w:hAnsi="Times New Roman"/>
            <w:b w:val="false"/>
            <w:i w:val="false"/>
            <w:color w:val="000000"/>
            <w:sz w:val="22"/>
          </w:rPr>
          <w:t>284.8</w:t>
        </w:r>
      </w:hyperlink>
      <w:r>
        <w:rPr>
          <w:rFonts w:ascii="Times New Roman" w:hAnsi="Times New Roman"/>
          <w:b w:val="false"/>
          <w:i w:val="false"/>
          <w:color w:val="000000"/>
          <w:sz w:val="22"/>
        </w:rPr>
        <w:t xml:space="preserve"> that addresses the remediation defined under subrules </w:t>
      </w:r>
      <w:hyperlink r:id="rId40">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(1) through </w:t>
      </w:r>
      <w:hyperlink r:id="rId41">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supervisor or an evaluator determines, at any time, as a result of a teacher’s performance that the teacher is not meeting district expectations under subrules </w:t>
      </w:r>
      <w:hyperlink r:id="rId42">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(1) through </w:t>
      </w:r>
      <w:hyperlink r:id="rId43">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(8), the evaluator will, at the direction of the teacher’s supervisor, recommend to the district that the teacher participate in an intensive assistance program. The intensive assistance program and its implementation are not subject to negotiation or grievance procedures established pursuant to Iowa Code chapter </w:t>
      </w:r>
      <w:hyperlink r:id="rId4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teacher who is not meeting the applicable standards and criteria based on a determination made pursuant to paragraph </w:t>
      </w:r>
      <w:hyperlink r:id="rId45">
        <w:r>
          <w:rPr>
            <w:rStyle w:val="Hyperlink"/>
            <w:rFonts w:ascii="Times New Roman" w:hAnsi="Times New Roman"/>
            <w:b w:val="false"/>
            <w:i w:val="false"/>
            <w:color w:val="000000"/>
            <w:sz w:val="22"/>
          </w:rPr>
          <w:t>83.4(3)</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participate in an intensive assistance program. However, a teacher who has previously participated in an intensive assistance program relating to particular Iowa teaching standards or criteria is not entitled to participate in another intensive assistance program relating to the same standards or criteria and is subject to the provisions of paragraph </w:t>
      </w:r>
      <w:hyperlink r:id="rId46">
        <w:r>
          <w:rPr>
            <w:rStyle w:val="Hyperlink"/>
            <w:rFonts w:ascii="Times New Roman" w:hAnsi="Times New Roman"/>
            <w:b w:val="false"/>
            <w:i w:val="false"/>
            <w:color w:val="000000"/>
            <w:sz w:val="22"/>
          </w:rPr>
          <w:t>83.4(3)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Following a teacher’s participation in an intensive assistance program, the teacher will be reevaluated to determine whether the teacher successfully completed the intensive assistance program and is meeting district expectations under the applicable Iowa teaching standards or criteria. If the teacher did not successfully complete the intensive assistance program or continues not to meet the applicable Iowa teaching standards or criteria, the school board may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Terminate the teacher’s contract immediately pursuant to Iowa Code section </w:t>
      </w:r>
      <w:hyperlink r:id="rId47">
        <w:r>
          <w:rPr>
            <w:rStyle w:val="Hyperlink"/>
            <w:rFonts w:ascii="Times New Roman" w:hAnsi="Times New Roman"/>
            <w:b w:val="false"/>
            <w:i w:val="false"/>
            <w:color w:val="000000"/>
            <w:sz w:val="22"/>
          </w:rPr>
          <w:t>279.27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Terminate the teacher’s contract at the end of the school year pursuant to Iowa Code section </w:t>
      </w:r>
      <w:hyperlink r:id="rId48">
        <w:r>
          <w:rPr>
            <w:rStyle w:val="Hyperlink"/>
            <w:rFonts w:ascii="Times New Roman" w:hAnsi="Times New Roman"/>
            <w:b w:val="false"/>
            <w:i w:val="false"/>
            <w:color w:val="000000"/>
            <w:sz w:val="22"/>
          </w:rPr>
          <w:t>279.15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the teacher’s contract for a period not to exceed one year. However, the contract will not be renewed and is not subject to Iowa Code section </w:t>
      </w:r>
      <w:hyperlink r:id="rId49">
        <w:r>
          <w:rPr>
            <w:rStyle w:val="Hyperlink"/>
            <w:rFonts w:ascii="Times New Roman" w:hAnsi="Times New Roman"/>
            <w:b w:val="false"/>
            <w:i w:val="false"/>
            <w:color w:val="000000"/>
            <w:sz w:val="22"/>
          </w:rPr>
          <w:t>279.15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281—83.5</w:t>
      </w:r>
      <w:r>
        <w:rPr>
          <w:rFonts w:ascii="Times New Roman" w:hAnsi="Times New Roman"/>
          <w:b/>
          <w:i w:val="false"/>
          <w:color w:val="000000"/>
          <w:sz w:val="22"/>
        </w:rPr>
        <w:t xml:space="preserve">(284) </w:t>
      </w:r>
      <w:r>
        <w:rPr>
          <w:rFonts w:ascii="Times New Roman" w:hAnsi="Times New Roman"/>
          <w:b/>
          <w:i w:val="false"/>
          <w:color w:val="000000"/>
          <w:sz w:val="22"/>
        </w:rPr>
        <w:t xml:space="preserve">Professional development for teachers.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for school districts, area education agencies, and attendance centers. </w:t>
      </w:r>
      <w:r>
        <w:rPr>
          <w:rFonts w:ascii="Times New Roman" w:hAnsi="Times New Roman"/>
          <w:b w:val="false"/>
          <w:i w:val="false"/>
          <w:color w:val="000000"/>
          <w:sz w:val="22"/>
        </w:rPr>
        <w:t>The following provisions apply to professional development for school districts, area education agencies, and attendance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Professional learning standards. </w:t>
      </w:r>
      <w:r>
        <w:rPr>
          <w:rFonts w:ascii="Times New Roman" w:hAnsi="Times New Roman"/>
          <w:b w:val="false"/>
          <w:i w:val="false"/>
          <w:color w:val="000000"/>
          <w:sz w:val="22"/>
        </w:rPr>
        <w:t>Professional learning within an area education agency or local district is aligned with the state standards for teaching and learning and aligned to the following standards for professional development. Professional learning increases educator effectiveness and results for all students when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Occurs within learning communities committed to continuous improvement, collective responsibility, and goal alignment.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skillful leaders to develop capacity, advocate, and create support systems for professional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Prioritizes, monitors, and coordinates resources for educator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Uses a variety of sources and types of student, educator, and system data to plan, assess, and evaluate effectiveness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Integrates theories, research, and models of human learning to achieve intended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Applies research on change and sustains support for implementation of professional learning for long-term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Aligns its outcomes with educator performance and student curriculum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District or area education agency professional development plan. </w:t>
      </w:r>
      <w:r>
        <w:rPr>
          <w:rFonts w:ascii="Times New Roman" w:hAnsi="Times New Roman"/>
          <w:b w:val="false"/>
          <w:i w:val="false"/>
          <w:color w:val="000000"/>
          <w:sz w:val="22"/>
        </w:rPr>
        <w:t>The district or area education agency professional development plan is to be a long-term plan designed and implemented to increase student achievement and includes all on-site and district or area education agency personnel responsible for instruction. The district or area education agency professional development plan is to contain,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Implementation of a school district’s or area education agency’s plan for professional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professional development is based on student data; aligned with district or attendance center student achievement goals; and focused on instruction, curriculum,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study and implementation of research-based instructional strategies that improve teaching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Collaborative inquiry into the area of greatest student learning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Research-based training strategies (e.g., theory, demonstration, observation, practice, coaching, reflection, evaluation) that promote transfer and positive outcomes as needed for learning new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Allocation of time to collectively study content, instruction, and impact so necessary adjustments can be made to ensure student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Accountability and an evaluation that documents improvement of practice and the impact on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Attendance center professional development plans. </w:t>
      </w:r>
      <w:r>
        <w:rPr>
          <w:rFonts w:ascii="Times New Roman" w:hAnsi="Times New Roman"/>
          <w:b w:val="false"/>
          <w:i w:val="false"/>
          <w:color w:val="000000"/>
          <w:sz w:val="22"/>
        </w:rPr>
        <w:t>Each attendance center within a school district will develop an attendance center professional development plan as a means of promoting group professional development. An attendance center professional development plan will further the needs of personnel responsible for instruction in the attendance center and enhance the student achievement goals of the attendance center and the goals of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development plans. </w:t>
      </w:r>
      <w:r>
        <w:rPr>
          <w:rFonts w:ascii="Times New Roman" w:hAnsi="Times New Roman"/>
          <w:b w:val="false"/>
          <w:i w:val="false"/>
          <w:color w:val="000000"/>
          <w:sz w:val="22"/>
        </w:rPr>
        <w:t xml:space="preserve">The school district and area education agency shall support the development and implementation of the individual teacher professional development plan for each teacher as outlined in subrule </w:t>
      </w:r>
      <w:hyperlink r:id="rId50">
        <w:r>
          <w:rPr>
            <w:rStyle w:val="Hyperlink"/>
            <w:rFonts w:ascii="Times New Roman" w:hAnsi="Times New Roman"/>
            <w:b w:val="false"/>
            <w:i w:val="false"/>
            <w:color w:val="000000"/>
            <w:sz w:val="22"/>
          </w:rPr>
          <w:t>83.5(2)</w:t>
        </w:r>
      </w:hyperlink>
      <w:r>
        <w:rPr>
          <w:rFonts w:ascii="Times New Roman" w:hAnsi="Times New Roman"/>
          <w:b w:val="false"/>
          <w:i w:val="false"/>
          <w:color w:val="000000"/>
          <w:sz w:val="22"/>
        </w:rPr>
        <w:t>. Each individual teacher professional development plan will align to the fullest extent possible with the district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Beginning teacher mentoring and induction. </w:t>
      </w:r>
      <w:r>
        <w:rPr>
          <w:rFonts w:ascii="Times New Roman" w:hAnsi="Times New Roman"/>
          <w:b w:val="false"/>
          <w:i w:val="false"/>
          <w:color w:val="000000"/>
          <w:sz w:val="22"/>
        </w:rPr>
        <w:t xml:space="preserve">A school district will develop and implement a beginning teacher mentoring and induction plan as outlined in subrule </w:t>
      </w:r>
      <w:hyperlink r:id="rId51">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or a framework for beginning teachers as outlined in subrule </w:t>
      </w:r>
      <w:hyperlink r:id="rId52">
        <w:r>
          <w:rPr>
            <w:rStyle w:val="Hyperlink"/>
            <w:rFonts w:ascii="Times New Roman" w:hAnsi="Times New Roman"/>
            <w:b w:val="false"/>
            <w:i w:val="false"/>
            <w:color w:val="000000"/>
            <w:sz w:val="22"/>
          </w:rPr>
          <w:t>83.2(2)</w:t>
        </w:r>
      </w:hyperlink>
      <w:r>
        <w:rPr>
          <w:rFonts w:ascii="Times New Roman" w:hAnsi="Times New Roman"/>
          <w:b w:val="false"/>
          <w:i w:val="false"/>
          <w:color w:val="000000"/>
          <w:sz w:val="22"/>
        </w:rPr>
        <w:t xml:space="preserve">. The district’s beginning teacher mentoring and induction plan or framework for beginning teachers will align with the district professional development plan described in paragraph </w:t>
      </w:r>
      <w:hyperlink r:id="rId53">
        <w:r>
          <w:rPr>
            <w:rStyle w:val="Hyperlink"/>
            <w:rFonts w:ascii="Times New Roman" w:hAnsi="Times New Roman"/>
            <w:b w:val="false"/>
            <w:i w:val="false"/>
            <w:color w:val="000000"/>
            <w:sz w:val="22"/>
          </w:rPr>
          <w:t>83.5(1)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area education agency will develop and implement a beginning teacher mentoring and induction plan as outlined in subrule </w:t>
      </w:r>
      <w:hyperlink r:id="rId54">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which will align with the area education agency’s professional development plan described in paragraph </w:t>
      </w:r>
      <w:hyperlink r:id="rId55">
        <w:r>
          <w:rPr>
            <w:rStyle w:val="Hyperlink"/>
            <w:rFonts w:ascii="Times New Roman" w:hAnsi="Times New Roman"/>
            <w:b w:val="false"/>
            <w:i w:val="false"/>
            <w:color w:val="000000"/>
            <w:sz w:val="22"/>
          </w:rPr>
          <w:t>83.5(1)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Organizational support for professional development. </w:t>
      </w:r>
      <w:r>
        <w:rPr>
          <w:rFonts w:ascii="Times New Roman" w:hAnsi="Times New Roman"/>
          <w:b w:val="false"/>
          <w:i w:val="false"/>
          <w:color w:val="000000"/>
          <w:sz w:val="22"/>
        </w:rPr>
        <w:t>The school district will provide resources and support for the district professional development plan, including opportunities for professional development, time for collaborative work of staff, budgetary support, and policies and procedures that reflect the district’s commitment to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color w:val="000000"/>
          <w:sz w:val="22"/>
        </w:rPr>
        <w:t xml:space="preserve">Individual teacher professional development plan. </w:t>
      </w:r>
      <w:r>
        <w:rPr>
          <w:rFonts w:ascii="Times New Roman" w:hAnsi="Times New Roman"/>
          <w:b w:val="false"/>
          <w:i w:val="false"/>
          <w:color w:val="000000"/>
          <w:sz w:val="22"/>
        </w:rPr>
        <w:t xml:space="preserve">Each school district and area education agency shall support the development and implementation of individual teachers’ professional development plans for teachers other than beginning teachers. The purpose of the individual plan is to promote individual and collective professional development. At a minimum, the goals for an individual teacher professional development plan are based on the needs of the teacher and on the relevant Iowa teaching standards that support the student achievement goals of the teacher’s classroom or classrooms, attendance center and school district or area education agency, as appropriate, as outlined in the comprehensive school improvement plan. The goals will go beyond those under the attendance center professional development plan described in paragraph </w:t>
      </w:r>
      <w:hyperlink r:id="rId56">
        <w:r>
          <w:rPr>
            <w:rStyle w:val="Hyperlink"/>
            <w:rFonts w:ascii="Times New Roman" w:hAnsi="Times New Roman"/>
            <w:b w:val="false"/>
            <w:i w:val="false"/>
            <w:color w:val="000000"/>
            <w:sz w:val="22"/>
          </w:rPr>
          <w:t>83.5(1)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learning opportunities provided to meet the goals of the individual teacher plan include individual study and collaborative study of district-determined or area education agency-determined content to the extent possible. The individual plan will be developed by the teacher in collaboration with the teacher’s evaluator. An annual meeting will be held between the teacher’s evaluator and the teacher to review the goals and refine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provider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may be a school district; an area education agency; a higher education institution; a public or private entity, including a professional organization that provides long-term, ongoing support for the district’s or area education agency’s professional development plan; or a consortium of any of the foregoing. An educational organization or program with specific professional development accreditation or approval from the department is an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that are not currently accredited or approved through state accreditation procedures will follow approval procedures identified in the district’s or area education agency’s professional development plan. The potential provider will submit to the school district or area education agency a written application that provides the following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provider will deliver technical assistance that meets the Iowa professional development standards provided in paragraph </w:t>
      </w:r>
      <w:hyperlink r:id="rId57">
        <w:r>
          <w:rPr>
            <w:rStyle w:val="Hyperlink"/>
            <w:rFonts w:ascii="Times New Roman" w:hAnsi="Times New Roman"/>
            <w:b w:val="false"/>
            <w:i w:val="false"/>
            <w:color w:val="000000"/>
            <w:sz w:val="22"/>
          </w:rPr>
          <w:t>83.5(1)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provider intends to assist the local district or area education agency in designing, implementing, and evaluating professional development that satisfies paragraph </w:t>
      </w:r>
      <w:hyperlink r:id="rId58">
        <w:r>
          <w:rPr>
            <w:rStyle w:val="Hyperlink"/>
            <w:rFonts w:ascii="Times New Roman" w:hAnsi="Times New Roman"/>
            <w:b w:val="false"/>
            <w:i w:val="false"/>
            <w:color w:val="000000"/>
            <w:sz w:val="22"/>
          </w:rPr>
          <w:t>83.5(1)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qualifications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the provider’s expertise in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evaluating the effectiveness of the technical assistance delivered by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281—83.6</w:t>
      </w:r>
      <w:r>
        <w:rPr>
          <w:rFonts w:ascii="Times New Roman" w:hAnsi="Times New Roman"/>
          <w:b/>
          <w:i w:val="false"/>
          <w:color w:val="000000"/>
          <w:sz w:val="22"/>
        </w:rPr>
        <w:t xml:space="preserve">(284) </w:t>
      </w:r>
      <w:r>
        <w:rPr>
          <w:rFonts w:ascii="Times New Roman" w:hAnsi="Times New Roman"/>
          <w:b/>
          <w:i w:val="false"/>
          <w:color w:val="000000"/>
          <w:sz w:val="22"/>
        </w:rPr>
        <w:t xml:space="preserve">Teacher quality committees. </w:t>
      </w:r>
      <w:r>
        <w:rPr>
          <w:rFonts w:ascii="Times New Roman" w:hAnsi="Times New Roman"/>
          <w:b w:val="false"/>
          <w:i w:val="false"/>
          <w:color w:val="000000"/>
          <w:sz w:val="22"/>
        </w:rPr>
        <w:t xml:space="preserve">Each school district and area education agency will create a teacher quality committee pursuant to Iowa Code section </w:t>
      </w:r>
      <w:hyperlink r:id="rId59">
        <w:r>
          <w:rPr>
            <w:rStyle w:val="Hyperlink"/>
            <w:rFonts w:ascii="Times New Roman" w:hAnsi="Times New Roman"/>
            <w:b w:val="false"/>
            <w:i w:val="false"/>
            <w:color w:val="000000"/>
            <w:sz w:val="22"/>
          </w:rPr>
          <w:t>284.4</w:t>
        </w:r>
      </w:hyperlink>
      <w:r>
        <w:rPr>
          <w:rFonts w:ascii="Times New Roman" w:hAnsi="Times New Roman"/>
          <w:b w:val="false"/>
          <w:i w:val="false"/>
          <w:color w:val="000000"/>
          <w:sz w:val="22"/>
        </w:rPr>
        <w:t xml:space="preserve">. The committee is subject to Iowa Code chapter </w:t>
      </w:r>
      <w:hyperlink r:id="rId6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To the extent possible, committee membership will have balanced representation with regard to gender. The committee will do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Monitor the implementation of statutes and administrative code provisions relating to this chapter, including those that affect any agreement negotiated pursuant to Iowa Code chapter </w:t>
      </w:r>
      <w:hyperlink r:id="rId6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 the evaluation provisions of this chapter to ensure evaluations are conducted in a fair and consistent manner throughout the school district or agency. The committee will develop model evidence for the Iowa teaching standards and criteria. The model evidence will minimize paperwork and focus on teacher improvement. The model evidence will determine which standards and criteria can be met through observation and which evidence meets multiple standards and criteria.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Determine, following the adoption of the Iowa professional development model by the state board of education, the use and distribution of the professional development funds distributed to the school district or agency as provided in Iowa Code section </w:t>
      </w:r>
      <w:hyperlink r:id="rId62">
        <w:r>
          <w:rPr>
            <w:rStyle w:val="Hyperlink"/>
            <w:rFonts w:ascii="Times New Roman" w:hAnsi="Times New Roman"/>
            <w:b w:val="false"/>
            <w:i w:val="false"/>
            <w:color w:val="000000"/>
            <w:sz w:val="22"/>
          </w:rPr>
          <w:t>284.13(1)</w:t>
        </w:r>
      </w:hyperlink>
      <w:r>
        <w:rPr>
          <w:rFonts w:ascii="Times New Roman" w:hAnsi="Times New Roman"/>
          <w:b w:val="false"/>
          <w:i/>
          <w:color w:val="000000"/>
          <w:sz w:val="22"/>
        </w:rPr>
        <w:t>“d”</w:t>
      </w:r>
      <w:r>
        <w:rPr>
          <w:rFonts w:ascii="Times New Roman" w:hAnsi="Times New Roman"/>
          <w:b w:val="false"/>
          <w:i w:val="false"/>
          <w:color w:val="000000"/>
          <w:sz w:val="22"/>
        </w:rPr>
        <w:t xml:space="preserve"> based upon school district or agency, attendance center, and individual teacher professional development plans.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Monitor the professional development in each attendance center to ensure that the professional development meets school district or agency, attendance center, and individual teacher professional development plans.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Determine the compensation for teachers on the committee for work responsibilities beyond the normal workday.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Make recommendations to the school board and the certified bargaining representative regarding the expenditures of market factor incentives.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SPECIFIC STANDARDS APPLICABLE TO ADMINISTRATOR QUALITY PROGRAMS</w:t>
      </w:r>
    </w:p>
    <w:p>
      <w:pPr>
        <w:spacing w:before="0" w:after="0"/>
        <w:ind w:left="120"/>
        <w:jc w:val="both"/>
      </w:pPr>
      <w:r>
        <w:rPr>
          <w:rFonts w:ascii="Times New Roman" w:hAnsi="Times New Roman"/>
          <w:b/>
          <w:i w:val="false"/>
          <w:color w:val="000000"/>
          <w:sz w:val="22"/>
        </w:rPr>
        <w:t>281—83.7</w:t>
      </w:r>
      <w:r>
        <w:rPr>
          <w:rFonts w:ascii="Times New Roman" w:hAnsi="Times New Roman"/>
          <w:b/>
          <w:i w:val="false"/>
          <w:color w:val="000000"/>
          <w:sz w:val="22"/>
        </w:rPr>
        <w:t xml:space="preserve">(284A) </w:t>
      </w:r>
      <w:r>
        <w:rPr>
          <w:rFonts w:ascii="Times New Roman" w:hAnsi="Times New Roman"/>
          <w:b/>
          <w:i w:val="false"/>
          <w:color w:val="000000"/>
          <w:sz w:val="22"/>
        </w:rPr>
        <w:t xml:space="preserve">Administrator quality program. </w:t>
      </w:r>
      <w:r>
        <w:rPr>
          <w:rFonts w:ascii="Times New Roman" w:hAnsi="Times New Roman"/>
          <w:b w:val="false"/>
          <w:i w:val="false"/>
          <w:color w:val="000000"/>
          <w:sz w:val="22"/>
        </w:rPr>
        <w:t>An administrator quality program is established to promote high student achievement and enhanced educator quality and consists of the following four major components: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Adherence to the Iowa school leadership standards and criteria as the minimum basis for evaluations of administrators and as the basis for professional development plans for administrators.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Mentoring and induction programs that provide support for administrators in accordance with Iowa Code section </w:t>
      </w:r>
      <w:hyperlink r:id="rId63">
        <w:r>
          <w:rPr>
            <w:rStyle w:val="Hyperlink"/>
            <w:rFonts w:ascii="Times New Roman" w:hAnsi="Times New Roman"/>
            <w:b w:val="false"/>
            <w:i w:val="false"/>
            <w:color w:val="000000"/>
            <w:sz w:val="22"/>
          </w:rPr>
          <w:t>284A.5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Professional development designed to directly support best practice for leadership.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Evaluation of administrators against the Iowa standards for school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281—83.8</w:t>
      </w:r>
      <w:r>
        <w:rPr>
          <w:rFonts w:ascii="Times New Roman" w:hAnsi="Times New Roman"/>
          <w:b/>
          <w:i w:val="false"/>
          <w:color w:val="000000"/>
          <w:sz w:val="22"/>
        </w:rPr>
        <w:t xml:space="preserve">(284A) </w:t>
      </w:r>
      <w:r>
        <w:rPr>
          <w:rFonts w:ascii="Times New Roman" w:hAnsi="Times New Roman"/>
          <w:b/>
          <w:i w:val="false"/>
          <w:color w:val="000000"/>
          <w:sz w:val="22"/>
        </w:rPr>
        <w:t xml:space="preserve">Mentoring and induction program for administrators. </w:t>
      </w:r>
      <w:r>
        <w:rPr>
          <w:rFonts w:ascii="Times New Roman" w:hAnsi="Times New Roman"/>
          <w:b w:val="false"/>
          <w:i w:val="false"/>
          <w:color w:val="000000"/>
          <w:sz w:val="22"/>
        </w:rPr>
        <w:t xml:space="preserve">Each school board will establish a beginning administrator mentoring and induction program as specified in Iowa Code section </w:t>
      </w:r>
      <w:hyperlink r:id="rId64">
        <w:r>
          <w:rPr>
            <w:rStyle w:val="Hyperlink"/>
            <w:rFonts w:ascii="Times New Roman" w:hAnsi="Times New Roman"/>
            <w:b w:val="false"/>
            <w:i w:val="false"/>
            <w:color w:val="000000"/>
            <w:sz w:val="22"/>
          </w:rPr>
          <w:t>284A.5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281—83.9</w:t>
      </w:r>
      <w:r>
        <w:rPr>
          <w:rFonts w:ascii="Times New Roman" w:hAnsi="Times New Roman"/>
          <w:b/>
          <w:i w:val="false"/>
          <w:color w:val="000000"/>
          <w:sz w:val="22"/>
        </w:rPr>
        <w:t xml:space="preserve">(284A) </w:t>
      </w:r>
      <w:r>
        <w:rPr>
          <w:rFonts w:ascii="Times New Roman" w:hAnsi="Times New Roman"/>
          <w:b/>
          <w:i w:val="false"/>
          <w:color w:val="000000"/>
          <w:sz w:val="22"/>
        </w:rPr>
        <w:t xml:space="preserve">Iowa school leadership standards for administrators. </w:t>
      </w:r>
      <w:r>
        <w:rPr>
          <w:rFonts w:ascii="Times New Roman" w:hAnsi="Times New Roman"/>
          <w:b w:val="false"/>
          <w:i w:val="false"/>
          <w:color w:val="000000"/>
          <w:sz w:val="22"/>
        </w:rPr>
        <w:t xml:space="preserve">Rule </w:t>
      </w:r>
      <w:hyperlink r:id="rId65">
        <w:r>
          <w:rPr>
            <w:rStyle w:val="Hyperlink"/>
            <w:rFonts w:ascii="Times New Roman" w:hAnsi="Times New Roman"/>
            <w:b w:val="false"/>
            <w:i w:val="false"/>
            <w:color w:val="000000"/>
            <w:sz w:val="22"/>
          </w:rPr>
          <w:t>281—83.10(284)</w:t>
        </w:r>
      </w:hyperlink>
      <w:r>
        <w:rPr>
          <w:rFonts w:ascii="Times New Roman" w:hAnsi="Times New Roman"/>
          <w:b w:val="false"/>
          <w:i w:val="false"/>
          <w:color w:val="000000"/>
          <w:sz w:val="22"/>
        </w:rPr>
        <w:t>, as in effect on April 9, 2024, remains applicable until July 1, 2024. The Iowa school leadership standards for administrators provide a framework to guide leadership practice and how leaders are prepared, hired, developed, supervised and evaluated. A local school board may establish additional administrator standards and related criteria but will, at a minimum, utilize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83.9(1)</w:t>
      </w:r>
      <w:r>
        <w:rPr>
          <w:rFonts w:ascii="Times New Roman" w:hAnsi="Times New Roman"/>
          <w:b w:val="false"/>
          <w:i w:val="false"/>
          <w:color w:val="000000"/>
          <w:sz w:val="22"/>
        </w:rPr>
        <w:t> </w:t>
      </w:r>
      <w:r>
        <w:rPr>
          <w:rFonts w:ascii="Times New Roman" w:hAnsi="Times New Roman"/>
          <w:b w:val="false"/>
          <w:i/>
          <w:color w:val="000000"/>
          <w:sz w:val="22"/>
        </w:rPr>
        <w:t xml:space="preserve">Mission, vision, and core values. </w:t>
      </w:r>
      <w:r>
        <w:rPr>
          <w:rFonts w:ascii="Times New Roman" w:hAnsi="Times New Roman"/>
          <w:b w:val="false"/>
          <w:i w:val="false"/>
          <w:color w:val="000000"/>
          <w:sz w:val="22"/>
        </w:rPr>
        <w:t>Educational leaders develop, advocate, and enact a shared mission, vision, and core values of high-quality education and academic success and well-being of each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83.9(2)</w:t>
      </w:r>
      <w:r>
        <w:rPr>
          <w:rFonts w:ascii="Times New Roman" w:hAnsi="Times New Roman"/>
          <w:b w:val="false"/>
          <w:i w:val="false"/>
          <w:color w:val="000000"/>
          <w:sz w:val="22"/>
        </w:rPr>
        <w:t> </w:t>
      </w:r>
      <w:r>
        <w:rPr>
          <w:rFonts w:ascii="Times New Roman" w:hAnsi="Times New Roman"/>
          <w:b w:val="false"/>
          <w:i/>
          <w:color w:val="000000"/>
          <w:sz w:val="22"/>
        </w:rPr>
        <w:t xml:space="preserve">Ethics and professional norms. </w:t>
      </w:r>
      <w:r>
        <w:rPr>
          <w:rFonts w:ascii="Times New Roman" w:hAnsi="Times New Roman"/>
          <w:b w:val="false"/>
          <w:i w:val="false"/>
          <w:color w:val="000000"/>
          <w:sz w:val="22"/>
        </w:rPr>
        <w:t>Educational leaders act ethically and according to professional norms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83.9(3)</w:t>
      </w:r>
      <w:r>
        <w:rPr>
          <w:rFonts w:ascii="Times New Roman" w:hAnsi="Times New Roman"/>
          <w:b w:val="false"/>
          <w:i w:val="false"/>
          <w:color w:val="000000"/>
          <w:sz w:val="22"/>
        </w:rPr>
        <w:t> </w:t>
      </w:r>
      <w:r>
        <w:rPr>
          <w:rFonts w:ascii="Times New Roman" w:hAnsi="Times New Roman"/>
          <w:b w:val="false"/>
          <w:i/>
          <w:color w:val="000000"/>
          <w:sz w:val="22"/>
        </w:rPr>
        <w:t xml:space="preserve">Equity and cultural responsiveness. </w:t>
      </w:r>
      <w:r>
        <w:rPr>
          <w:rFonts w:ascii="Times New Roman" w:hAnsi="Times New Roman"/>
          <w:b w:val="false"/>
          <w:i w:val="false"/>
          <w:color w:val="000000"/>
          <w:sz w:val="22"/>
        </w:rPr>
        <w:t>Educational leaders strive for equity of educational opportunity and culturally responsive practices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83.9(4)</w:t>
      </w:r>
      <w:r>
        <w:rPr>
          <w:rFonts w:ascii="Times New Roman" w:hAnsi="Times New Roman"/>
          <w:b w:val="false"/>
          <w:i w:val="false"/>
          <w:color w:val="000000"/>
          <w:sz w:val="22"/>
        </w:rPr>
        <w:t> </w:t>
      </w:r>
      <w:r>
        <w:rPr>
          <w:rFonts w:ascii="Times New Roman" w:hAnsi="Times New Roman"/>
          <w:b w:val="false"/>
          <w:i/>
          <w:color w:val="000000"/>
          <w:sz w:val="22"/>
        </w:rPr>
        <w:t xml:space="preserve">Curriculum, instruction, and assessment. </w:t>
      </w:r>
      <w:r>
        <w:rPr>
          <w:rFonts w:ascii="Times New Roman" w:hAnsi="Times New Roman"/>
          <w:b w:val="false"/>
          <w:i w:val="false"/>
          <w:color w:val="000000"/>
          <w:sz w:val="22"/>
        </w:rPr>
        <w:t>Educational leaders develop and support intellectually rigorous and coherent systems of curriculum, instruction, and assessment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83.9(5)</w:t>
      </w:r>
      <w:r>
        <w:rPr>
          <w:rFonts w:ascii="Times New Roman" w:hAnsi="Times New Roman"/>
          <w:b w:val="false"/>
          <w:i w:val="false"/>
          <w:color w:val="000000"/>
          <w:sz w:val="22"/>
        </w:rPr>
        <w:t> </w:t>
      </w:r>
      <w:r>
        <w:rPr>
          <w:rFonts w:ascii="Times New Roman" w:hAnsi="Times New Roman"/>
          <w:b w:val="false"/>
          <w:i/>
          <w:color w:val="000000"/>
          <w:sz w:val="22"/>
        </w:rPr>
        <w:t xml:space="preserve">Community of care and support for students. </w:t>
      </w:r>
      <w:r>
        <w:rPr>
          <w:rFonts w:ascii="Times New Roman" w:hAnsi="Times New Roman"/>
          <w:b w:val="false"/>
          <w:i w:val="false"/>
          <w:color w:val="000000"/>
          <w:sz w:val="22"/>
        </w:rPr>
        <w:t>Educational leaders cultivate an inclusive, caring, and supportive school community that promotes the academic success and well-being of each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83.9(6)</w:t>
      </w:r>
      <w:r>
        <w:rPr>
          <w:rFonts w:ascii="Times New Roman" w:hAnsi="Times New Roman"/>
          <w:b w:val="false"/>
          <w:i w:val="false"/>
          <w:color w:val="000000"/>
          <w:sz w:val="22"/>
        </w:rPr>
        <w:t> </w:t>
      </w:r>
      <w:r>
        <w:rPr>
          <w:rFonts w:ascii="Times New Roman" w:hAnsi="Times New Roman"/>
          <w:b w:val="false"/>
          <w:i/>
          <w:color w:val="000000"/>
          <w:sz w:val="22"/>
        </w:rPr>
        <w:t xml:space="preserve">Professional capacity of school personnel. </w:t>
      </w:r>
      <w:r>
        <w:rPr>
          <w:rFonts w:ascii="Times New Roman" w:hAnsi="Times New Roman"/>
          <w:b w:val="false"/>
          <w:i w:val="false"/>
          <w:color w:val="000000"/>
          <w:sz w:val="22"/>
        </w:rPr>
        <w:t>Educational leaders develop the professional capacity and practice of school personnel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83.9(7)</w:t>
      </w:r>
      <w:r>
        <w:rPr>
          <w:rFonts w:ascii="Times New Roman" w:hAnsi="Times New Roman"/>
          <w:b w:val="false"/>
          <w:i w:val="false"/>
          <w:color w:val="000000"/>
          <w:sz w:val="22"/>
        </w:rPr>
        <w:t> </w:t>
      </w:r>
      <w:r>
        <w:rPr>
          <w:rFonts w:ascii="Times New Roman" w:hAnsi="Times New Roman"/>
          <w:b w:val="false"/>
          <w:i/>
          <w:color w:val="000000"/>
          <w:sz w:val="22"/>
        </w:rPr>
        <w:t xml:space="preserve">Professional community for teachers and staff. </w:t>
      </w:r>
      <w:r>
        <w:rPr>
          <w:rFonts w:ascii="Times New Roman" w:hAnsi="Times New Roman"/>
          <w:b w:val="false"/>
          <w:i w:val="false"/>
          <w:color w:val="000000"/>
          <w:sz w:val="22"/>
        </w:rPr>
        <w:t>Educational leaders foster a professional community of teachers and other professional staff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83.9(8)</w:t>
      </w:r>
      <w:r>
        <w:rPr>
          <w:rFonts w:ascii="Times New Roman" w:hAnsi="Times New Roman"/>
          <w:b w:val="false"/>
          <w:i w:val="false"/>
          <w:color w:val="000000"/>
          <w:sz w:val="22"/>
        </w:rPr>
        <w:t> </w:t>
      </w:r>
      <w:r>
        <w:rPr>
          <w:rFonts w:ascii="Times New Roman" w:hAnsi="Times New Roman"/>
          <w:b w:val="false"/>
          <w:i/>
          <w:color w:val="000000"/>
          <w:sz w:val="22"/>
        </w:rPr>
        <w:t xml:space="preserve">Meaningful engagement of families and communities. </w:t>
      </w:r>
      <w:r>
        <w:rPr>
          <w:rFonts w:ascii="Times New Roman" w:hAnsi="Times New Roman"/>
          <w:b w:val="false"/>
          <w:i w:val="false"/>
          <w:color w:val="000000"/>
          <w:sz w:val="22"/>
        </w:rPr>
        <w:t>Educational leaders engage families and the community in meaningful, reciprocal, and mutually beneficial ways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83.9(9)</w:t>
      </w:r>
      <w:r>
        <w:rPr>
          <w:rFonts w:ascii="Times New Roman" w:hAnsi="Times New Roman"/>
          <w:b w:val="false"/>
          <w:i w:val="false"/>
          <w:color w:val="000000"/>
          <w:sz w:val="22"/>
        </w:rPr>
        <w:t> </w:t>
      </w:r>
      <w:r>
        <w:rPr>
          <w:rFonts w:ascii="Times New Roman" w:hAnsi="Times New Roman"/>
          <w:b w:val="false"/>
          <w:i/>
          <w:color w:val="000000"/>
          <w:sz w:val="22"/>
        </w:rPr>
        <w:t xml:space="preserve">Operations and management. </w:t>
      </w:r>
      <w:r>
        <w:rPr>
          <w:rFonts w:ascii="Times New Roman" w:hAnsi="Times New Roman"/>
          <w:b w:val="false"/>
          <w:i w:val="false"/>
          <w:color w:val="000000"/>
          <w:sz w:val="22"/>
        </w:rPr>
        <w:t>Educational leaders manage school operations and resources to promote each student’s academic success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83.9(10)</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w:t>
      </w:r>
      <w:r>
        <w:rPr>
          <w:rFonts w:ascii="Times New Roman" w:hAnsi="Times New Roman"/>
          <w:b w:val="false"/>
          <w:i w:val="false"/>
          <w:color w:val="000000"/>
          <w:sz w:val="22"/>
        </w:rPr>
        <w:t>Educational leaders act as agents of continuous improvement to promote each student’s academic success and well-being.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281—83.10</w:t>
      </w:r>
      <w:r>
        <w:rPr>
          <w:rFonts w:ascii="Times New Roman" w:hAnsi="Times New Roman"/>
          <w:b/>
          <w:i w:val="false"/>
          <w:color w:val="000000"/>
          <w:sz w:val="22"/>
        </w:rPr>
        <w:t xml:space="preserve">(284A)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The board of directors of a school district will conduct an annual evaluation of an administrator who holds a professional administrator license issued under Iowa Code chapter </w:t>
      </w:r>
      <w:hyperlink r:id="rId66">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as specified in Iowa Code section </w:t>
      </w:r>
      <w:hyperlink r:id="rId67">
        <w:r>
          <w:rPr>
            <w:rStyle w:val="Hyperlink"/>
            <w:rFonts w:ascii="Times New Roman" w:hAnsi="Times New Roman"/>
            <w:b w:val="false"/>
            <w:i w:val="false"/>
            <w:color w:val="000000"/>
            <w:sz w:val="22"/>
          </w:rPr>
          <w:t>284A.7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281—83.11</w:t>
      </w:r>
      <w:r>
        <w:rPr>
          <w:rFonts w:ascii="Times New Roman" w:hAnsi="Times New Roman"/>
          <w:b/>
          <w:i w:val="false"/>
          <w:color w:val="000000"/>
          <w:sz w:val="22"/>
        </w:rPr>
        <w:t xml:space="preserve">(284A) </w:t>
      </w:r>
      <w:r>
        <w:rPr>
          <w:rFonts w:ascii="Times New Roman" w:hAnsi="Times New Roman"/>
          <w:b/>
          <w:i w:val="false"/>
          <w:color w:val="000000"/>
          <w:sz w:val="22"/>
        </w:rPr>
        <w:t xml:space="preserve">Professional development of administrators. </w:t>
      </w:r>
      <w:r>
        <w:rPr>
          <w:rFonts w:ascii="Times New Roman" w:hAnsi="Times New Roman"/>
          <w:b w:val="false"/>
          <w:i w:val="false"/>
          <w:color w:val="000000"/>
          <w:sz w:val="22"/>
        </w:rPr>
        <w:t xml:space="preserve">Each school district is responsible for the provision of professional growth programming for individuals employed in a school district administrative position by the school district or area education agency as deemed appropriate by the board of directors of the school district or area education agency as specified in Iowa Code section </w:t>
      </w:r>
      <w:hyperlink r:id="rId68">
        <w:r>
          <w:rPr>
            <w:rStyle w:val="Hyperlink"/>
            <w:rFonts w:ascii="Times New Roman" w:hAnsi="Times New Roman"/>
            <w:b w:val="false"/>
            <w:i w:val="false"/>
            <w:color w:val="000000"/>
            <w:sz w:val="22"/>
          </w:rPr>
          <w:t>284A.6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9">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8/16/99—published 9/8/99, effective 8/20/99]</w:t>
      </w:r>
    </w:p>
    <w:p>
      <w:pPr>
        <w:spacing w:before="0" w:after="0"/>
        <w:ind w:left="120"/>
        <w:jc w:val="center"/>
      </w:pPr>
      <w:r>
        <w:rPr>
          <w:rFonts w:ascii="Times New Roman" w:hAnsi="Times New Roman"/>
          <w:b w:val="false"/>
          <w:i w:val="false"/>
          <w:color w:val="000000"/>
          <w:sz w:val="21"/>
        </w:rPr>
        <w:t>[Filed 10/21/99, Notice 9/8/99—published 11/17/99, effective 12/22/99]</w:t>
      </w:r>
    </w:p>
    <w:p>
      <w:pPr>
        <w:spacing w:before="0" w:after="0"/>
        <w:ind w:left="120"/>
        <w:jc w:val="center"/>
      </w:pPr>
      <w:r>
        <w:rPr>
          <w:rFonts w:ascii="Times New Roman" w:hAnsi="Times New Roman"/>
          <w:b w:val="false"/>
          <w:i w:val="false"/>
          <w:color w:val="000000"/>
          <w:sz w:val="21"/>
        </w:rPr>
        <w:t>[Filed 8/4/00, Notice 6/28/00—published 8/23/00, effective 9/27/00]</w:t>
      </w:r>
    </w:p>
    <w:p>
      <w:pPr>
        <w:spacing w:before="0" w:after="0"/>
        <w:ind w:left="120"/>
        <w:jc w:val="center"/>
      </w:pPr>
      <w:r>
        <w:rPr>
          <w:rFonts w:ascii="Times New Roman" w:hAnsi="Times New Roman"/>
          <w:b w:val="false"/>
          <w:i w:val="false"/>
          <w:color w:val="000000"/>
          <w:sz w:val="21"/>
        </w:rPr>
        <w:t>[Filed 8/10/01, Notice 6/27/01—published 9/5/01, effective 10/10/01]</w:t>
      </w:r>
    </w:p>
    <w:p>
      <w:pPr>
        <w:spacing w:before="0" w:after="0"/>
        <w:ind w:left="120"/>
        <w:jc w:val="center"/>
      </w:pPr>
      <w:r>
        <w:rPr>
          <w:rFonts w:ascii="Times New Roman" w:hAnsi="Times New Roman"/>
          <w:b w:val="false"/>
          <w:i w:val="false"/>
          <w:color w:val="000000"/>
          <w:sz w:val="21"/>
        </w:rPr>
        <w:t>[Filed 5/9/02, Notice 2/6/02—published 5/29/02, effective 7/3/02]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1/16/04, Notice 12/10/03—published 2/4/04, effective 3/10/04]</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ARC 7785B</w:t>
      </w:r>
      <w:r>
        <w:rPr>
          <w:rFonts w:ascii="Times New Roman" w:hAnsi="Times New Roman"/>
          <w:b w:val="false"/>
          <w:i w:val="false"/>
          <w:color w:val="000000"/>
          <w:sz w:val="21"/>
        </w:rPr>
        <w:t xml:space="preserve"> (Notice ARC 7489B,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8808B</w:t>
      </w:r>
      <w:r>
        <w:rPr>
          <w:rFonts w:ascii="Times New Roman" w:hAnsi="Times New Roman"/>
          <w:b w:val="false"/>
          <w:i w:val="false"/>
          <w:color w:val="000000"/>
          <w:sz w:val="21"/>
        </w:rPr>
        <w:t xml:space="preserve"> (Notice ARC 8509B, IAB 2/10/10)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9265B</w:t>
      </w:r>
      <w:r>
        <w:rPr>
          <w:rFonts w:ascii="Times New Roman" w:hAnsi="Times New Roman"/>
          <w:b w:val="false"/>
          <w:i w:val="false"/>
          <w:color w:val="000000"/>
          <w:sz w:val="21"/>
        </w:rPr>
        <w:t xml:space="preserve"> (Notice ARC 9015B,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0524C</w:t>
      </w:r>
      <w:r>
        <w:rPr>
          <w:rFonts w:ascii="Times New Roman" w:hAnsi="Times New Roman"/>
          <w:b w:val="false"/>
          <w:i w:val="false"/>
          <w:color w:val="000000"/>
          <w:sz w:val="21"/>
        </w:rPr>
        <w:t xml:space="preserve"> (Notice ARC 0300C,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1435C</w:t>
      </w:r>
      <w:r>
        <w:rPr>
          <w:rFonts w:ascii="Times New Roman" w:hAnsi="Times New Roman"/>
          <w:b w:val="false"/>
          <w:i w:val="false"/>
          <w:color w:val="000000"/>
          <w:sz w:val="21"/>
        </w:rPr>
        <w:t xml:space="preserve"> (Notice ARC 1338C,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3631C</w:t>
      </w:r>
      <w:r>
        <w:rPr>
          <w:rFonts w:ascii="Times New Roman" w:hAnsi="Times New Roman"/>
          <w:b w:val="false"/>
          <w:i w:val="false"/>
          <w:color w:val="000000"/>
          <w:sz w:val="21"/>
        </w:rPr>
        <w:t xml:space="preserve"> (Notice ARC 3271C, IAB 8/30/17)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5331C</w:t>
      </w:r>
      <w:r>
        <w:rPr>
          <w:rFonts w:ascii="Times New Roman" w:hAnsi="Times New Roman"/>
          <w:b w:val="false"/>
          <w:i w:val="false"/>
          <w:color w:val="000000"/>
          <w:sz w:val="21"/>
        </w:rPr>
        <w:t xml:space="preserve"> (Notice ARC 5147C, IAB 8/26/20)</w:t>
      </w:r>
      <w:r>
        <w:rPr>
          <w:rFonts w:ascii="Times New Roman" w:hAnsi="Times New Roman"/>
          <w:b w:val="false"/>
          <w:i w:val="false"/>
          <w:color w:val="000000"/>
          <w:sz w:val="21"/>
        </w:rPr>
        <w:t>, IAB 12/16/20, effective 7/1/21]</w:t>
      </w:r>
    </w:p>
    <w:p>
      <w:pPr>
        <w:spacing w:before="0" w:after="0"/>
        <w:ind w:left="120"/>
        <w:jc w:val="center"/>
      </w:pPr>
      <w:r>
        <w:rPr>
          <w:rFonts w:ascii="Times New Roman" w:hAnsi="Times New Roman"/>
          <w:b w:val="false"/>
          <w:i w:val="false"/>
          <w:color w:val="000000"/>
          <w:sz w:val="21"/>
        </w:rPr>
        <w:t>[Filed ARC 7662C</w:t>
      </w:r>
      <w:r>
        <w:rPr>
          <w:rFonts w:ascii="Times New Roman" w:hAnsi="Times New Roman"/>
          <w:b w:val="false"/>
          <w:i w:val="false"/>
          <w:color w:val="000000"/>
          <w:sz w:val="21"/>
        </w:rPr>
        <w:t xml:space="preserve"> (Notice ARC 7168C,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4A.2.pdf" Type="http://schemas.openxmlformats.org/officeDocument/2006/relationships/hyperlink" Id="rId5"/>
    <Relationship TargetMode="External" Target="https://www.legis.iowa.gov/docs/ico/chapter/284A.2.pdf" Type="http://schemas.openxmlformats.org/officeDocument/2006/relationships/hyperlink" Id="rId6"/>
    <Relationship TargetMode="External" Target="https://www.legis.iowa.gov/docs/ico/chapter/284.2.pdf" Type="http://schemas.openxmlformats.org/officeDocument/2006/relationships/hyperlink" Id="rId7"/>
    <Relationship TargetMode="External" Target="https://www.legis.iowa.gov/docs/ico/chapter/284.5.pdf" Type="http://schemas.openxmlformats.org/officeDocument/2006/relationships/hyperlink" Id="rId8"/>
    <Relationship TargetMode="External" Target="https://www.legis.iowa.gov/docs/ico/chapter/284.15.pdf" Type="http://schemas.openxmlformats.org/officeDocument/2006/relationships/hyperlink" Id="rId9"/>
    <Relationship TargetMode="External" Target="https://www.legis.iowa.gov/docs/ico/chapter/272.pdf" Type="http://schemas.openxmlformats.org/officeDocument/2006/relationships/hyperlink" Id="rId10"/>
    <Relationship TargetMode="External" Target="https://www.legis.iowa.gov/docs/ico/chapter/284.2.pdf" Type="http://schemas.openxmlformats.org/officeDocument/2006/relationships/hyperlink" Id="rId11"/>
    <Relationship TargetMode="External" Target="https://www.legis.iowa.gov/docs/ico/chapter/284A.2.pdf" Type="http://schemas.openxmlformats.org/officeDocument/2006/relationships/hyperlink" Id="rId12"/>
    <Relationship TargetMode="External" Target="https://www.legis.iowa.gov/docs/ico/chapter/284.2.pdf" Type="http://schemas.openxmlformats.org/officeDocument/2006/relationships/hyperlink" Id="rId13"/>
    <Relationship TargetMode="External" Target="https://www.legis.iowa.gov/docs/ico/chapter/256.7.pdf" Type="http://schemas.openxmlformats.org/officeDocument/2006/relationships/hyperlink" Id="rId14"/>
    <Relationship TargetMode="External" Target="https://www.legis.iowa.gov/docs/ico/chapter/284.2.pdf" Type="http://schemas.openxmlformats.org/officeDocument/2006/relationships/hyperlink" Id="rId15"/>
    <Relationship TargetMode="External" Target="https://www.legis.iowa.gov/docs/ico/chapter/284A.2.pdf" Type="http://schemas.openxmlformats.org/officeDocument/2006/relationships/hyperlink" Id="rId16"/>
    <Relationship TargetMode="External" Target="https://www.legis.iowa.gov/docs/ico/chapter/284.2.pdf" Type="http://schemas.openxmlformats.org/officeDocument/2006/relationships/hyperlink" Id="rId17"/>
    <Relationship TargetMode="External" Target="https://www.legis.iowa.gov/docs/ico/chapter/284.2.pdf" Type="http://schemas.openxmlformats.org/officeDocument/2006/relationships/hyperlink" Id="rId18"/>
    <Relationship TargetMode="External" Target="https://www.legis.iowa.gov/docs/ico/chapter/284.2.pdf" Type="http://schemas.openxmlformats.org/officeDocument/2006/relationships/hyperlink" Id="rId19"/>
    <Relationship TargetMode="External" Target="https://www.legis.iowa.gov/docs/ico/chapter/272.28.pdf" Type="http://schemas.openxmlformats.org/officeDocument/2006/relationships/hyperlink" Id="rId20"/>
    <Relationship TargetMode="External" Target="https://www.legis.iowa.gov/docs/ico/chapter/284.5.pdf" Type="http://schemas.openxmlformats.org/officeDocument/2006/relationships/hyperlink" Id="rId21"/>
    <Relationship TargetMode="External" Target="https://www.legis.iowa.gov/docs/iac/rule/281.83.3.pdf" Type="http://schemas.openxmlformats.org/officeDocument/2006/relationships/hyperlink" Id="rId22"/>
    <Relationship TargetMode="External" Target="https://www.legis.iowa.gov/docs/ico/chapter/294.pdf" Type="http://schemas.openxmlformats.org/officeDocument/2006/relationships/hyperlink" Id="rId23"/>
    <Relationship TargetMode="External" Target="https://www.legis.iowa.gov/docs/ico/chapter/284.15.pdf" Type="http://schemas.openxmlformats.org/officeDocument/2006/relationships/hyperlink" Id="rId24"/>
    <Relationship TargetMode="External" Target="https://www.legis.iowa.gov/docs/ico/chapter/272.28.pdf" Type="http://schemas.openxmlformats.org/officeDocument/2006/relationships/hyperlink" Id="rId25"/>
    <Relationship TargetMode="External" Target="https://www.legis.iowa.gov/docs/ico/chapter/284.15.pdf" Type="http://schemas.openxmlformats.org/officeDocument/2006/relationships/hyperlink" Id="rId26"/>
    <Relationship TargetMode="External" Target="https://www.legis.iowa.gov/docs/iac/rule/281.83.3.pdf" Type="http://schemas.openxmlformats.org/officeDocument/2006/relationships/hyperlink" Id="rId27"/>
    <Relationship TargetMode="External" Target="https://www.legis.iowa.gov/docs/ico/chapter/284.15-17.pdf" Type="http://schemas.openxmlformats.org/officeDocument/2006/relationships/hyperlink" Id="rId28"/>
    <Relationship TargetMode="External" Target="https://www.legis.iowa.gov/docs/iac/rule/281.83.3.pdf" Type="http://schemas.openxmlformats.org/officeDocument/2006/relationships/hyperlink" Id="rId29"/>
    <Relationship TargetMode="External" Target="https://www.legis.iowa.gov/docs/iac/rule/281.83.2.pdf" Type="http://schemas.openxmlformats.org/officeDocument/2006/relationships/hyperlink" Id="rId30"/>
    <Relationship TargetMode="External" Target="https://www.legis.iowa.gov/docs/iac/rule/281.83.4.pdf" Type="http://schemas.openxmlformats.org/officeDocument/2006/relationships/hyperlink" Id="rId31"/>
    <Relationship TargetMode="External" Target="https://www.legis.iowa.gov/docs/ico/chapter/284.pdf" Type="http://schemas.openxmlformats.org/officeDocument/2006/relationships/hyperlink" Id="rId32"/>
    <Relationship TargetMode="External" Target="https://www.legis.iowa.gov/docs/iac/rule/281.83.4.pdf" Type="http://schemas.openxmlformats.org/officeDocument/2006/relationships/hyperlink" Id="rId33"/>
    <Relationship TargetMode="External" Target="https://www.legis.iowa.gov/docs/iac/rule/281.83.4.pdf" Type="http://schemas.openxmlformats.org/officeDocument/2006/relationships/hyperlink" Id="rId34"/>
    <Relationship TargetMode="External" Target="https://www.legis.iowa.gov/docs/iac/rule/281.83.3.pdf" Type="http://schemas.openxmlformats.org/officeDocument/2006/relationships/hyperlink" Id="rId35"/>
    <Relationship TargetMode="External" Target="https://www.legis.iowa.gov/docs/iac/rule/281.83.3.pdf" Type="http://schemas.openxmlformats.org/officeDocument/2006/relationships/hyperlink" Id="rId36"/>
    <Relationship TargetMode="External" Target="https://www.legis.iowa.gov/docs/iac/rule/281.83.3.pdf" Type="http://schemas.openxmlformats.org/officeDocument/2006/relationships/hyperlink" Id="rId37"/>
    <Relationship TargetMode="External" Target="https://www.legis.iowa.gov/docs/ico/chapter/284.8.pdf" Type="http://schemas.openxmlformats.org/officeDocument/2006/relationships/hyperlink" Id="rId38"/>
    <Relationship TargetMode="External" Target="https://www.legis.iowa.gov/docs/ico/chapter/284.8.pdf" Type="http://schemas.openxmlformats.org/officeDocument/2006/relationships/hyperlink" Id="rId39"/>
    <Relationship TargetMode="External" Target="https://www.legis.iowa.gov/docs/iac/rule/281.83.3.pdf" Type="http://schemas.openxmlformats.org/officeDocument/2006/relationships/hyperlink" Id="rId40"/>
    <Relationship TargetMode="External" Target="https://www.legis.iowa.gov/docs/iac/rule/281.83.3.pdf" Type="http://schemas.openxmlformats.org/officeDocument/2006/relationships/hyperlink" Id="rId41"/>
    <Relationship TargetMode="External" Target="https://www.legis.iowa.gov/docs/iac/rule/281.83.3.pdf" Type="http://schemas.openxmlformats.org/officeDocument/2006/relationships/hyperlink" Id="rId42"/>
    <Relationship TargetMode="External" Target="https://www.legis.iowa.gov/docs/iac/rule/281.83.3.pdf" Type="http://schemas.openxmlformats.org/officeDocument/2006/relationships/hyperlink" Id="rId43"/>
    <Relationship TargetMode="External" Target="https://www.legis.iowa.gov/docs/ico/chapter/20.pdf" Type="http://schemas.openxmlformats.org/officeDocument/2006/relationships/hyperlink" Id="rId44"/>
    <Relationship TargetMode="External" Target="https://www.legis.iowa.gov/docs/iac/rule/281.83.4.pdf" Type="http://schemas.openxmlformats.org/officeDocument/2006/relationships/hyperlink" Id="rId45"/>
    <Relationship TargetMode="External" Target="https://www.legis.iowa.gov/docs/iac/rule/281.83.4.pdf" Type="http://schemas.openxmlformats.org/officeDocument/2006/relationships/hyperlink" Id="rId46"/>
    <Relationship TargetMode="External" Target="https://www.legis.iowa.gov/docs/ico/chapter/279.27.pdf" Type="http://schemas.openxmlformats.org/officeDocument/2006/relationships/hyperlink" Id="rId47"/>
    <Relationship TargetMode="External" Target="https://www.legis.iowa.gov/docs/ico/chapter/279.15.pdf" Type="http://schemas.openxmlformats.org/officeDocument/2006/relationships/hyperlink" Id="rId48"/>
    <Relationship TargetMode="External" Target="https://www.legis.iowa.gov/docs/ico/chapter/279.15.pdf" Type="http://schemas.openxmlformats.org/officeDocument/2006/relationships/hyperlink" Id="rId49"/>
    <Relationship TargetMode="External" Target="https://www.legis.iowa.gov/docs/iac/rule/281.83.5.pdf" Type="http://schemas.openxmlformats.org/officeDocument/2006/relationships/hyperlink" Id="rId50"/>
    <Relationship TargetMode="External" Target="https://www.legis.iowa.gov/docs/iac/rule/281.83.2.pdf" Type="http://schemas.openxmlformats.org/officeDocument/2006/relationships/hyperlink" Id="rId51"/>
    <Relationship TargetMode="External" Target="https://www.legis.iowa.gov/docs/iac/rule/281.83.2.pdf" Type="http://schemas.openxmlformats.org/officeDocument/2006/relationships/hyperlink" Id="rId52"/>
    <Relationship TargetMode="External" Target="https://www.legis.iowa.gov/docs/iac/rule/281.83.5.pdf" Type="http://schemas.openxmlformats.org/officeDocument/2006/relationships/hyperlink" Id="rId53"/>
    <Relationship TargetMode="External" Target="https://www.legis.iowa.gov/docs/iac/rule/281.83.2.pdf" Type="http://schemas.openxmlformats.org/officeDocument/2006/relationships/hyperlink" Id="rId54"/>
    <Relationship TargetMode="External" Target="https://www.legis.iowa.gov/docs/iac/rule/281.83.5.pdf" Type="http://schemas.openxmlformats.org/officeDocument/2006/relationships/hyperlink" Id="rId55"/>
    <Relationship TargetMode="External" Target="https://www.legis.iowa.gov/docs/iac/rule/281.83.5.pdf" Type="http://schemas.openxmlformats.org/officeDocument/2006/relationships/hyperlink" Id="rId56"/>
    <Relationship TargetMode="External" Target="https://www.legis.iowa.gov/docs/iac/rule/281.83.5.pdf" Type="http://schemas.openxmlformats.org/officeDocument/2006/relationships/hyperlink" Id="rId57"/>
    <Relationship TargetMode="External" Target="https://www.legis.iowa.gov/docs/iac/rule/281.83.5.pdf" Type="http://schemas.openxmlformats.org/officeDocument/2006/relationships/hyperlink" Id="rId58"/>
    <Relationship TargetMode="External" Target="https://www.legis.iowa.gov/docs/ico/chapter/284.4.pdf" Type="http://schemas.openxmlformats.org/officeDocument/2006/relationships/hyperlink" Id="rId59"/>
    <Relationship TargetMode="External" Target="https://www.legis.iowa.gov/docs/ico/chapter/21.pdf" Type="http://schemas.openxmlformats.org/officeDocument/2006/relationships/hyperlink" Id="rId60"/>
    <Relationship TargetMode="External" Target="https://www.legis.iowa.gov/docs/ico/chapter/20.pdf" Type="http://schemas.openxmlformats.org/officeDocument/2006/relationships/hyperlink" Id="rId61"/>
    <Relationship TargetMode="External" Target="https://www.legis.iowa.gov/docs/ico/chapter/284.13.pdf" Type="http://schemas.openxmlformats.org/officeDocument/2006/relationships/hyperlink" Id="rId62"/>
    <Relationship TargetMode="External" Target="https://www.legis.iowa.gov/docs/ico/chapter/284A.5.pdf" Type="http://schemas.openxmlformats.org/officeDocument/2006/relationships/hyperlink" Id="rId63"/>
    <Relationship TargetMode="External" Target="https://www.legis.iowa.gov/docs/ico/chapter/284A.5.pdf" Type="http://schemas.openxmlformats.org/officeDocument/2006/relationships/hyperlink" Id="rId64"/>
    <Relationship TargetMode="External" Target="https://www.legis.iowa.gov/docs/iac/rule/281.83.10.pdf" Type="http://schemas.openxmlformats.org/officeDocument/2006/relationships/hyperlink" Id="rId65"/>
    <Relationship TargetMode="External" Target="https://www.legis.iowa.gov/docs/ico/chapter/272.pdf" Type="http://schemas.openxmlformats.org/officeDocument/2006/relationships/hyperlink" Id="rId66"/>
    <Relationship TargetMode="External" Target="https://www.legis.iowa.gov/docs/ico/chapter/284A.7.pdf" Type="http://schemas.openxmlformats.org/officeDocument/2006/relationships/hyperlink" Id="rId67"/>
    <Relationship TargetMode="External" Target="https://www.legis.iowa.gov/docs/ico/chapter/284A.6.pdf" Type="http://schemas.openxmlformats.org/officeDocument/2006/relationships/hyperlink" Id="rId68"/>
    <Relationship TargetMode="External" Target="https://www.legis.iowa.gov/docs/ico/chapter/284.pdf" Type="http://schemas.openxmlformats.org/officeDocument/2006/relationships/hyperlink" Id="rId69"/>
    <Relationship TargetMode="External" Target="https://www.legis.iowa.gov/docs/ico/chapter/284A.pdf" Type="http://schemas.openxmlformats.org/officeDocument/2006/relationships/hyperlink"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