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64</w:t>
      </w:r>
    </w:p>
    <w:p>
      <w:pPr>
        <w:spacing w:before="0" w:after="0"/>
        <w:ind w:left="120"/>
        <w:jc w:val="center"/>
      </w:pPr>
      <w:r>
        <w:rPr>
          <w:rFonts w:ascii="Times New Roman" w:hAnsi="Times New Roman"/>
          <w:b w:val="false"/>
          <w:i w:val="false"/>
          <w:color w:val="000000"/>
          <w:sz w:val="21"/>
        </w:rPr>
        <w:t>CHILD DEVELOPMENT COORDINATING COUNCIL</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281—64.1</w:t>
      </w:r>
      <w:r>
        <w:rPr>
          <w:rFonts w:ascii="Times New Roman" w:hAnsi="Times New Roman"/>
          <w:b/>
          <w:i w:val="false"/>
          <w:color w:val="000000"/>
          <w:sz w:val="22"/>
        </w:rPr>
        <w:t xml:space="preserve">(256A,279) </w:t>
      </w:r>
      <w:r>
        <w:rPr>
          <w:rFonts w:ascii="Times New Roman" w:hAnsi="Times New Roman"/>
          <w:b/>
          <w:i w:val="false"/>
          <w:color w:val="000000"/>
          <w:sz w:val="22"/>
        </w:rPr>
        <w:t xml:space="preserve">Purpose. </w:t>
      </w:r>
      <w:r>
        <w:rPr>
          <w:rFonts w:ascii="Times New Roman" w:hAnsi="Times New Roman"/>
          <w:b w:val="false"/>
          <w:i w:val="false"/>
          <w:color w:val="000000"/>
          <w:sz w:val="22"/>
        </w:rPr>
        <w:t>These rules structure the child development coordinating council and set forth its operating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281—64.2</w:t>
      </w:r>
      <w:r>
        <w:rPr>
          <w:rFonts w:ascii="Times New Roman" w:hAnsi="Times New Roman"/>
          <w:b/>
          <w:i w:val="false"/>
          <w:color w:val="000000"/>
          <w:sz w:val="22"/>
        </w:rPr>
        <w:t xml:space="preserve">(256A,279) </w:t>
      </w:r>
      <w:r>
        <w:rPr>
          <w:rFonts w:ascii="Times New Roman" w:hAnsi="Times New Roman"/>
          <w:b/>
          <w:i w:val="false"/>
          <w:color w:val="000000"/>
          <w:sz w:val="22"/>
        </w:rPr>
        <w:t xml:space="preserve">Definitions applicable to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“Council”</w:t>
      </w:r>
      <w:r>
        <w:rPr>
          <w:rFonts w:ascii="Times New Roman" w:hAnsi="Times New Roman"/>
          <w:b w:val="false"/>
          <w:i w:val="false"/>
          <w:color w:val="000000"/>
          <w:sz w:val="22"/>
        </w:rPr>
        <w:t> </w:t>
      </w:r>
      <w:r>
        <w:rPr>
          <w:rFonts w:ascii="Times New Roman" w:hAnsi="Times New Roman"/>
          <w:b w:val="false"/>
          <w:i w:val="false"/>
          <w:color w:val="000000"/>
          <w:sz w:val="22"/>
        </w:rPr>
        <w:t>means the child development coordinating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“Grantee”</w:t>
      </w:r>
      <w:r>
        <w:rPr>
          <w:rFonts w:ascii="Times New Roman" w:hAnsi="Times New Roman"/>
          <w:b w:val="false"/>
          <w:i w:val="false"/>
          <w:color w:val="000000"/>
          <w:sz w:val="22"/>
        </w:rPr>
        <w:t> </w:t>
      </w:r>
      <w:r>
        <w:rPr>
          <w:rFonts w:ascii="Times New Roman" w:hAnsi="Times New Roman"/>
          <w:b w:val="false"/>
          <w:i w:val="false"/>
          <w:color w:val="000000"/>
          <w:sz w:val="22"/>
        </w:rPr>
        <w:t>means the applicant designated to a grant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“Parent”</w:t>
      </w:r>
      <w:r>
        <w:rPr>
          <w:rFonts w:ascii="Times New Roman" w:hAnsi="Times New Roman"/>
          <w:b w:val="false"/>
          <w:i w:val="false"/>
          <w:color w:val="000000"/>
          <w:sz w:val="22"/>
        </w:rPr>
        <w:t> </w:t>
      </w:r>
      <w:r>
        <w:rPr>
          <w:rFonts w:ascii="Times New Roman" w:hAnsi="Times New Roman"/>
          <w:b w:val="false"/>
          <w:i w:val="false"/>
          <w:color w:val="000000"/>
          <w:sz w:val="22"/>
        </w:rPr>
        <w:t>means biological, adoptive, surrogate, or foster parent, or guardian.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281—64.3</w:t>
      </w:r>
      <w:r>
        <w:rPr>
          <w:rFonts w:ascii="Times New Roman" w:hAnsi="Times New Roman"/>
          <w:b/>
          <w:i w:val="false"/>
          <w:color w:val="000000"/>
          <w:sz w:val="22"/>
        </w:rPr>
        <w:t xml:space="preserve">(256A,279) </w:t>
      </w:r>
      <w:r>
        <w:rPr>
          <w:rFonts w:ascii="Times New Roman" w:hAnsi="Times New Roman"/>
          <w:b/>
          <w:i w:val="false"/>
          <w:color w:val="000000"/>
          <w:sz w:val="22"/>
        </w:rPr>
        <w:t xml:space="preserve">Child development coordinating council. </w:t>
      </w:r>
      <w:r>
        <w:rPr>
          <w:rFonts w:ascii="Times New Roman" w:hAnsi="Times New Roman"/>
          <w:b w:val="false"/>
          <w:i w:val="false"/>
          <w:color w:val="000000"/>
          <w:sz w:val="22"/>
        </w:rPr>
        <w:t xml:space="preserve">The council members are set forth in Iowa Code section </w:t>
      </w:r>
      <w:hyperlink r:id="rId5">
        <w:r>
          <w:rPr>
            <w:rStyle w:val="Hyperlink"/>
            <w:rFonts w:ascii="Times New Roman" w:hAnsi="Times New Roman"/>
            <w:b w:val="false"/>
            <w:i w:val="false"/>
            <w:color w:val="000000"/>
            <w:sz w:val="22"/>
          </w:rPr>
          <w:t>256A.2</w:t>
        </w:r>
      </w:hyperlink>
      <w:r>
        <w:rPr>
          <w:rFonts w:ascii="Times New Roman" w:hAnsi="Times New Roman"/>
          <w:b w:val="false"/>
          <w:i w:val="false"/>
          <w:color w:val="000000"/>
          <w:sz w:val="22"/>
        </w:rPr>
        <w:t>. The Iowa resident parent will be chosen by the Iowa Head Start Association.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281—64.4</w:t>
      </w:r>
      <w:r>
        <w:rPr>
          <w:rFonts w:ascii="Times New Roman" w:hAnsi="Times New Roman"/>
          <w:b/>
          <w:i w:val="false"/>
          <w:color w:val="000000"/>
          <w:sz w:val="22"/>
        </w:rPr>
        <w:t xml:space="preserve">(256A,279) </w:t>
      </w:r>
      <w:r>
        <w:rPr>
          <w:rFonts w:ascii="Times New Roman" w:hAnsi="Times New Roman"/>
          <w:b/>
          <w:i w:val="false"/>
          <w:color w:val="000000"/>
          <w:sz w:val="22"/>
        </w:rPr>
        <w:t xml:space="preserve">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64.4(1)</w:t>
      </w:r>
      <w:r>
        <w:rPr>
          <w:rFonts w:ascii="Times New Roman" w:hAnsi="Times New Roman"/>
          <w:b w:val="false"/>
          <w:i w:val="false"/>
          <w:color w:val="000000"/>
          <w:sz w:val="22"/>
        </w:rPr>
        <w:t> </w:t>
      </w:r>
      <w:r>
        <w:rPr>
          <w:rFonts w:ascii="Times New Roman" w:hAnsi="Times New Roman"/>
          <w:b w:val="false"/>
          <w:i w:val="false"/>
          <w:color w:val="000000"/>
          <w:sz w:val="22"/>
        </w:rPr>
        <w:t>A quorum consists of two-thirds of the voting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64.4(2)</w:t>
      </w:r>
      <w:r>
        <w:rPr>
          <w:rFonts w:ascii="Times New Roman" w:hAnsi="Times New Roman"/>
          <w:b w:val="false"/>
          <w:i w:val="false"/>
          <w:color w:val="000000"/>
          <w:sz w:val="22"/>
        </w:rPr>
        <w:t> </w:t>
      </w:r>
      <w:r>
        <w:rPr>
          <w:rFonts w:ascii="Times New Roman" w:hAnsi="Times New Roman"/>
          <w:b w:val="false"/>
          <w:i w:val="false"/>
          <w:color w:val="000000"/>
          <w:sz w:val="22"/>
        </w:rPr>
        <w:t>When a quorum is present, a position passes when approved by a majority of voting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64.4(3)</w:t>
      </w:r>
      <w:r>
        <w:rPr>
          <w:rFonts w:ascii="Times New Roman" w:hAnsi="Times New Roman"/>
          <w:b w:val="false"/>
          <w:i w:val="false"/>
          <w:color w:val="000000"/>
          <w:sz w:val="22"/>
        </w:rPr>
        <w:t> </w:t>
      </w:r>
      <w:r>
        <w:rPr>
          <w:rFonts w:ascii="Times New Roman" w:hAnsi="Times New Roman"/>
          <w:b w:val="false"/>
          <w:i w:val="false"/>
          <w:color w:val="000000"/>
          <w:sz w:val="22"/>
        </w:rPr>
        <w:t>The council will meet at least four times per year and may meet more often at the call of the chair or a majority of voting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64.4(4)</w:t>
      </w:r>
      <w:r>
        <w:rPr>
          <w:rFonts w:ascii="Times New Roman" w:hAnsi="Times New Roman"/>
          <w:b w:val="false"/>
          <w:i w:val="false"/>
          <w:color w:val="000000"/>
          <w:sz w:val="22"/>
        </w:rPr>
        <w:t> </w:t>
      </w:r>
      <w:r>
        <w:rPr>
          <w:rFonts w:ascii="Times New Roman" w:hAnsi="Times New Roman"/>
          <w:b w:val="false"/>
          <w:i w:val="false"/>
          <w:color w:val="000000"/>
          <w:sz w:val="22"/>
        </w:rPr>
        <w:t>The chairperson and vice-chair will be elected by the council for a term of two years. After the initial two-year term as vice-chair, the vice-chair will assume the role of chairperson for a term of two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281—64.5</w:t>
      </w:r>
      <w:r>
        <w:rPr>
          <w:rFonts w:ascii="Times New Roman" w:hAnsi="Times New Roman"/>
          <w:b/>
          <w:i w:val="false"/>
          <w:color w:val="000000"/>
          <w:sz w:val="22"/>
        </w:rPr>
        <w:t xml:space="preserve">(256A,279) </w:t>
      </w:r>
      <w:r>
        <w:rPr>
          <w:rFonts w:ascii="Times New Roman" w:hAnsi="Times New Roman"/>
          <w:b/>
          <w:i w:val="false"/>
          <w:color w:val="000000"/>
          <w:sz w:val="22"/>
        </w:rPr>
        <w:t xml:space="preserve">Duties. </w:t>
      </w:r>
      <w:r>
        <w:rPr>
          <w:rFonts w:ascii="Times New Roman" w:hAnsi="Times New Roman"/>
          <w:b w:val="false"/>
          <w:i w:val="false"/>
          <w:color w:val="000000"/>
          <w:sz w:val="22"/>
        </w:rPr>
        <w:t xml:space="preserve">The duties of the council are provided in Iowa Code sections </w:t>
      </w:r>
      <w:hyperlink r:id="rId6">
        <w:r>
          <w:rPr>
            <w:rStyle w:val="Hyperlink"/>
            <w:rFonts w:ascii="Times New Roman" w:hAnsi="Times New Roman"/>
            <w:b w:val="false"/>
            <w:i w:val="false"/>
            <w:color w:val="000000"/>
            <w:sz w:val="22"/>
          </w:rPr>
          <w:t>256A.3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279.51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281—64.6</w:t>
      </w:r>
      <w:r>
        <w:rPr>
          <w:rFonts w:ascii="Times New Roman" w:hAnsi="Times New Roman"/>
          <w:b/>
          <w:i w:val="false"/>
          <w:color w:val="000000"/>
          <w:sz w:val="22"/>
        </w:rPr>
        <w:t xml:space="preserve">(256A,279) </w:t>
      </w:r>
      <w:r>
        <w:rPr>
          <w:rFonts w:ascii="Times New Roman" w:hAnsi="Times New Roman"/>
          <w:b/>
          <w:i w:val="false"/>
          <w:color w:val="000000"/>
          <w:sz w:val="22"/>
        </w:rPr>
        <w:t xml:space="preserve">Application process. </w:t>
      </w:r>
      <w:r>
        <w:rPr>
          <w:rFonts w:ascii="Times New Roman" w:hAnsi="Times New Roman"/>
          <w:b w:val="false"/>
          <w:i w:val="false"/>
          <w:color w:val="000000"/>
          <w:sz w:val="22"/>
        </w:rPr>
        <w:t>The council will advise the department to announce through public notice the opening of an application period for both Division I and Division II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281—64.7</w:t>
      </w:r>
      <w:r>
        <w:rPr>
          <w:rFonts w:ascii="Times New Roman" w:hAnsi="Times New Roman"/>
          <w:b/>
          <w:i w:val="false"/>
          <w:color w:val="000000"/>
          <w:sz w:val="22"/>
        </w:rPr>
        <w:t xml:space="preserve">(256A,279) </w:t>
      </w:r>
      <w:r>
        <w:rPr>
          <w:rFonts w:ascii="Times New Roman" w:hAnsi="Times New Roman"/>
          <w:b/>
          <w:i w:val="false"/>
          <w:color w:val="000000"/>
          <w:sz w:val="22"/>
        </w:rPr>
        <w:t xml:space="preserve">Request for proposals. </w:t>
      </w:r>
      <w:r>
        <w:rPr>
          <w:rFonts w:ascii="Times New Roman" w:hAnsi="Times New Roman"/>
          <w:b w:val="false"/>
          <w:i w:val="false"/>
          <w:color w:val="000000"/>
          <w:sz w:val="22"/>
        </w:rPr>
        <w:t>Applications for grants under either division of this chapter will be distributed by the department upon request. Proposals not containing the specified information or not received by the specified date will not be considered. All applications are to be submitted in accordance with instructions in the requests for proposals and are to be submitted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281—64.8</w:t>
      </w:r>
      <w:r>
        <w:rPr>
          <w:rFonts w:ascii="Times New Roman" w:hAnsi="Times New Roman"/>
          <w:b/>
          <w:i w:val="false"/>
          <w:color w:val="000000"/>
          <w:sz w:val="22"/>
        </w:rPr>
        <w:t xml:space="preserve">(256A,279) </w:t>
      </w:r>
      <w:r>
        <w:rPr>
          <w:rFonts w:ascii="Times New Roman" w:hAnsi="Times New Roman"/>
          <w:b/>
          <w:i w:val="false"/>
          <w:color w:val="000000"/>
          <w:sz w:val="22"/>
        </w:rPr>
        <w:t xml:space="preserve">Notification of applicants. </w:t>
      </w:r>
      <w:r>
        <w:rPr>
          <w:rFonts w:ascii="Times New Roman" w:hAnsi="Times New Roman"/>
          <w:b w:val="false"/>
          <w:i w:val="false"/>
          <w:color w:val="000000"/>
          <w:sz w:val="22"/>
        </w:rPr>
        <w:t>The council will advise the department to notify applicants of the decision to approve or disapprove the proposal within 45 days of the deadline for applications. Negotiations may be required. Successful applicants will be requested to have an official with vested authority sign a contract with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281—64.9</w:t>
      </w:r>
      <w:r>
        <w:rPr>
          <w:rFonts w:ascii="Times New Roman" w:hAnsi="Times New Roman"/>
          <w:b/>
          <w:i w:val="false"/>
          <w:color w:val="000000"/>
          <w:sz w:val="22"/>
        </w:rPr>
        <w:t xml:space="preserve">(256A,279) </w:t>
      </w:r>
      <w:r>
        <w:rPr>
          <w:rFonts w:ascii="Times New Roman" w:hAnsi="Times New Roman"/>
          <w:b/>
          <w:i w:val="false"/>
          <w:color w:val="000000"/>
          <w:sz w:val="22"/>
        </w:rPr>
        <w:t xml:space="preserve">Withdrawal of contract offer. </w:t>
      </w:r>
      <w:r>
        <w:rPr>
          <w:rFonts w:ascii="Times New Roman" w:hAnsi="Times New Roman"/>
          <w:b w:val="false"/>
          <w:i w:val="false"/>
          <w:color w:val="000000"/>
          <w:sz w:val="22"/>
        </w:rPr>
        <w:t>If the applicant and the department are unable to successfully negotiate a contract, the council may withdraw the award offer.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281—64.10</w:t>
      </w:r>
      <w:r>
        <w:rPr>
          <w:rFonts w:ascii="Times New Roman" w:hAnsi="Times New Roman"/>
          <w:b/>
          <w:i w:val="false"/>
          <w:color w:val="000000"/>
          <w:sz w:val="22"/>
        </w:rPr>
        <w:t xml:space="preserve">(256A,279) </w:t>
      </w:r>
      <w:r>
        <w:rPr>
          <w:rFonts w:ascii="Times New Roman" w:hAnsi="Times New Roman"/>
          <w:b/>
          <w:i w:val="false"/>
          <w:color w:val="000000"/>
          <w:sz w:val="22"/>
        </w:rPr>
        <w:t xml:space="preserve">Evaluation. </w:t>
      </w:r>
      <w:r>
        <w:rPr>
          <w:rFonts w:ascii="Times New Roman" w:hAnsi="Times New Roman"/>
          <w:b w:val="false"/>
          <w:i w:val="false"/>
          <w:color w:val="000000"/>
          <w:sz w:val="22"/>
        </w:rPr>
        <w:t>The grantee will cooperate with the council and provide requested information to determine how well the goals and objectives of the project are being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281—64.11</w:t>
      </w:r>
      <w:r>
        <w:rPr>
          <w:rFonts w:ascii="Times New Roman" w:hAnsi="Times New Roman"/>
          <w:b/>
          <w:i w:val="false"/>
          <w:color w:val="000000"/>
          <w:sz w:val="22"/>
        </w:rPr>
        <w:t xml:space="preserve">(256A,279) </w:t>
      </w:r>
      <w:r>
        <w:rPr>
          <w:rFonts w:ascii="Times New Roman" w:hAnsi="Times New Roman"/>
          <w:b/>
          <w:i w:val="false"/>
          <w:color w:val="000000"/>
          <w:sz w:val="22"/>
        </w:rPr>
        <w:t xml:space="preserve">Contract revisions and budget reversions. </w:t>
      </w:r>
      <w:r>
        <w:rPr>
          <w:rFonts w:ascii="Times New Roman" w:hAnsi="Times New Roman"/>
          <w:b w:val="false"/>
          <w:i w:val="false"/>
          <w:color w:val="000000"/>
          <w:sz w:val="22"/>
        </w:rPr>
        <w:t>The grantee will immediately inform the department of any revisions in the project budget. The department and the grantee may negotiate a revision to the contract to allow for expansion or modification of services but will not increase the total amount of the grant. Grant funds unencumbered or unobligated at the conclusion of the program period revert to the department. The program period concludes at the end of the five-year grant cycle, if an annual renewal grant within the five-year grant cycle is not awarded, or at any time the grant is discontinued during the five-year grant cycle.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281—64.12</w:t>
      </w:r>
      <w:r>
        <w:rPr>
          <w:rFonts w:ascii="Times New Roman" w:hAnsi="Times New Roman"/>
          <w:b/>
          <w:i w:val="false"/>
          <w:color w:val="000000"/>
          <w:sz w:val="22"/>
        </w:rPr>
        <w:t xml:space="preserve">(256A,279) </w:t>
      </w:r>
      <w:r>
        <w:rPr>
          <w:rFonts w:ascii="Times New Roman" w:hAnsi="Times New Roman"/>
          <w:b/>
          <w:i w:val="false"/>
          <w:color w:val="000000"/>
          <w:sz w:val="22"/>
        </w:rPr>
        <w:t xml:space="preserve">Termination for convenience. </w:t>
      </w:r>
      <w:r>
        <w:rPr>
          <w:rFonts w:ascii="Times New Roman" w:hAnsi="Times New Roman"/>
          <w:b w:val="false"/>
          <w:i w:val="false"/>
          <w:color w:val="000000"/>
          <w:sz w:val="22"/>
        </w:rPr>
        <w:t>The contract may be terminated in whole or in part when both parties agree that the continuation of the project would not produce beneficial results commensurate with the future expenditure of funds. The parties will agree upon the termination conditions, including the effective date, and in the case of partial terminations, the portion to be terminated. The grantee shall not incur new obligations for the terminated portion after the effective date, and cancel as many outstanding obligations as possible.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281—64.13</w:t>
      </w:r>
      <w:r>
        <w:rPr>
          <w:rFonts w:ascii="Times New Roman" w:hAnsi="Times New Roman"/>
          <w:b/>
          <w:i w:val="false"/>
          <w:color w:val="000000"/>
          <w:sz w:val="22"/>
        </w:rPr>
        <w:t xml:space="preserve">(256A,279) </w:t>
      </w:r>
      <w:r>
        <w:rPr>
          <w:rFonts w:ascii="Times New Roman" w:hAnsi="Times New Roman"/>
          <w:b/>
          <w:i w:val="false"/>
          <w:color w:val="000000"/>
          <w:sz w:val="22"/>
        </w:rPr>
        <w:t xml:space="preserve">Termination for cause. </w:t>
      </w:r>
      <w:r>
        <w:rPr>
          <w:rFonts w:ascii="Times New Roman" w:hAnsi="Times New Roman"/>
          <w:b w:val="false"/>
          <w:i w:val="false"/>
          <w:color w:val="000000"/>
          <w:sz w:val="22"/>
        </w:rPr>
        <w:t>The contract may be terminated in whole or in part at any time before the date of completion, whenever it is determined by the council that the grantee has failed to comply substantially with the conditions of the contract. The grantee will be notified in writing by the department of the reasons for the termination and the effective date. The grantee shall not incur new obligations for the terminated portion after the effective date of termination and cancel as many outstanding obligations as possible.</w:t>
      </w:r>
    </w:p>
    <w:p>
      <w:pPr>
        <w:spacing w:before="0" w:after="0"/>
        <w:ind w:left="120"/>
        <w:jc w:val="both"/>
      </w:pPr>
      <w:r>
        <w:rPr>
          <w:rFonts w:ascii="Times New Roman" w:hAnsi="Times New Roman"/>
          <w:b w:val="false"/>
          <w:i w:val="false"/>
          <w:color w:val="000000"/>
          <w:sz w:val="22"/>
        </w:rPr>
        <w:t>The department will administer the grants under this chapter contingent upon funding availability. If there is a lack of funds necessary to fulfill the fiscal responsibility of the child development grants and the public school grants, the contracts will be terminated or renegotiated. The department may terminate or renegotiate a contract upon 30 days’ notice when there is a reduction of funds by executive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281—64.14</w:t>
      </w:r>
      <w:r>
        <w:rPr>
          <w:rFonts w:ascii="Times New Roman" w:hAnsi="Times New Roman"/>
          <w:b/>
          <w:i w:val="false"/>
          <w:color w:val="000000"/>
          <w:sz w:val="22"/>
        </w:rPr>
        <w:t xml:space="preserve">(256A,279) </w:t>
      </w:r>
      <w:r>
        <w:rPr>
          <w:rFonts w:ascii="Times New Roman" w:hAnsi="Times New Roman"/>
          <w:b/>
          <w:i w:val="false"/>
          <w:color w:val="000000"/>
          <w:sz w:val="22"/>
        </w:rPr>
        <w:t xml:space="preserve">Responsibility of grantee at termination. </w:t>
      </w:r>
      <w:r>
        <w:rPr>
          <w:rFonts w:ascii="Times New Roman" w:hAnsi="Times New Roman"/>
          <w:b w:val="false"/>
          <w:i w:val="false"/>
          <w:color w:val="000000"/>
          <w:sz w:val="22"/>
        </w:rPr>
        <w:t>Within 45 days of the termination, the grantee will supply the department with a financial statement detailing all costs up to the effective date of the termination. If the grantee expends money for other than specified budget items approved by the council, the grantee will return moneys for unapproved expenditures.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281—64.15</w:t>
      </w:r>
      <w:r>
        <w:rPr>
          <w:rFonts w:ascii="Times New Roman" w:hAnsi="Times New Roman"/>
          <w:b/>
          <w:i w:val="false"/>
          <w:color w:val="000000"/>
          <w:sz w:val="22"/>
        </w:rPr>
        <w:t xml:space="preserve">(256A,279) </w:t>
      </w:r>
      <w:r>
        <w:rPr>
          <w:rFonts w:ascii="Times New Roman" w:hAnsi="Times New Roman"/>
          <w:b/>
          <w:i w:val="false"/>
          <w:color w:val="000000"/>
          <w:sz w:val="22"/>
        </w:rPr>
        <w:t xml:space="preserve">Appeal from terminations. </w:t>
      </w:r>
      <w:r>
        <w:rPr>
          <w:rFonts w:ascii="Times New Roman" w:hAnsi="Times New Roman"/>
          <w:b w:val="false"/>
          <w:i w:val="false"/>
          <w:color w:val="000000"/>
          <w:sz w:val="22"/>
        </w:rPr>
        <w:t xml:space="preserve">Any agency or public school aggrieved by a termination of a contract for cause pursuant to rule </w:t>
      </w:r>
      <w:hyperlink r:id="rId8">
        <w:r>
          <w:rPr>
            <w:rStyle w:val="Hyperlink"/>
            <w:rFonts w:ascii="Times New Roman" w:hAnsi="Times New Roman"/>
            <w:b w:val="false"/>
            <w:i w:val="false"/>
            <w:color w:val="000000"/>
            <w:sz w:val="22"/>
          </w:rPr>
          <w:t>281—64.13</w:t>
        </w:r>
      </w:hyperlink>
      <w:r>
        <w:rPr>
          <w:rFonts w:ascii="Times New Roman" w:hAnsi="Times New Roman"/>
          <w:b w:val="false"/>
          <w:i w:val="false"/>
          <w:color w:val="000000"/>
          <w:sz w:val="22"/>
        </w:rPr>
        <w:t xml:space="preserve">(256A,279) may appeal the decision to the director of the department in writing within 30 days of the decision to terminate. The hearing procedures found at </w:t>
      </w:r>
      <w:hyperlink r:id="rId9">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apply to appeals of terminated grantees, except that the rules on consolidation, severance, waiver of proceedings, and manner of hearing do not apply.</w:t>
      </w:r>
    </w:p>
    <w:p>
      <w:pPr>
        <w:spacing w:before="0" w:after="0"/>
        <w:ind w:left="120"/>
        <w:jc w:val="both"/>
      </w:pPr>
      <w:r>
        <w:rPr>
          <w:rFonts w:ascii="Times New Roman" w:hAnsi="Times New Roman"/>
          <w:b w:val="false"/>
          <w:i w:val="false"/>
          <w:color w:val="000000"/>
          <w:sz w:val="22"/>
        </w:rPr>
        <w:t>In the notice of appeal, the grantee will give a short and plain statement of the reason for the appeal.</w:t>
      </w:r>
    </w:p>
    <w:p>
      <w:pPr>
        <w:spacing w:before="0" w:after="0"/>
        <w:ind w:left="120"/>
        <w:jc w:val="both"/>
      </w:pPr>
      <w:r>
        <w:rPr>
          <w:rFonts w:ascii="Times New Roman" w:hAnsi="Times New Roman"/>
          <w:b w:val="false"/>
          <w:i w:val="false"/>
          <w:color w:val="000000"/>
          <w:sz w:val="22"/>
        </w:rPr>
        <w:t>The director will issue a decision within a reasonable time, not to exceed 120 days from the date of the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281—64.16</w:t>
      </w:r>
      <w:r>
        <w:rPr>
          <w:rFonts w:ascii="Times New Roman" w:hAnsi="Times New Roman"/>
          <w:b/>
          <w:i w:val="false"/>
          <w:color w:val="000000"/>
          <w:sz w:val="22"/>
        </w:rPr>
        <w:t xml:space="preserve">(256A,279) </w:t>
      </w:r>
      <w:r>
        <w:rPr>
          <w:rFonts w:ascii="Times New Roman" w:hAnsi="Times New Roman"/>
          <w:b/>
          <w:i w:val="false"/>
          <w:color w:val="000000"/>
          <w:sz w:val="22"/>
        </w:rPr>
        <w:t xml:space="preserve">Refusal to issue ruling. </w:t>
      </w:r>
      <w:r>
        <w:rPr>
          <w:rFonts w:ascii="Times New Roman" w:hAnsi="Times New Roman"/>
          <w:b w:val="false"/>
          <w:i w:val="false"/>
          <w:color w:val="000000"/>
          <w:sz w:val="22"/>
        </w:rPr>
        <w:t>The director may refuse to issue a ruling or decision upon an appeal for good cause. Good cause includes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appeal is untimely;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appellant lacks standing to appeal;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appeal is not in the proper form or is based upon frivolous grounds;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appeal is moot because the issues raised in the notice of appeal or at the hearing have been settled by the parties;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termination of the grant was beyond the control of the department because it was due to lack of funds available for the contract.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281—64.17</w:t>
      </w:r>
      <w:r>
        <w:rPr>
          <w:rFonts w:ascii="Times New Roman" w:hAnsi="Times New Roman"/>
          <w:b/>
          <w:i w:val="false"/>
          <w:color w:val="000000"/>
          <w:sz w:val="22"/>
        </w:rPr>
        <w:t xml:space="preserve">(256A,279) </w:t>
      </w:r>
      <w:r>
        <w:rPr>
          <w:rFonts w:ascii="Times New Roman" w:hAnsi="Times New Roman"/>
          <w:b/>
          <w:i w:val="false"/>
          <w:color w:val="000000"/>
          <w:sz w:val="22"/>
        </w:rPr>
        <w:t xml:space="preserve">Request for Reconsideration. </w:t>
      </w:r>
      <w:r>
        <w:rPr>
          <w:rFonts w:ascii="Times New Roman" w:hAnsi="Times New Roman"/>
          <w:b w:val="false"/>
          <w:i w:val="false"/>
          <w:color w:val="000000"/>
          <w:sz w:val="22"/>
        </w:rPr>
        <w:t>An applicant who has not been approved for funding may file a Request for Reconsideration with the director of the department in writing within ten days of the decision to decline to award a grant. In order to be considered by the director, the Request for Reconsideration is to be based upon one of the following grounds: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decision process was conducted in violation of statute or rule;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decision violates state or federal law, policy, or rule (to be cited in the Request);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decision process involved a conflict of interest.</w:t>
      </w:r>
    </w:p>
    <w:p>
      <w:pPr>
        <w:spacing w:before="0" w:after="0"/>
        <w:ind w:left="120"/>
        <w:jc w:val="both"/>
      </w:pPr>
      <w:r>
        <w:rPr>
          <w:rFonts w:ascii="Times New Roman" w:hAnsi="Times New Roman"/>
          <w:b w:val="false"/>
          <w:i w:val="false"/>
          <w:color w:val="000000"/>
          <w:sz w:val="22"/>
        </w:rPr>
        <w:t>Within 20 days of filing a Request for Reconsideration, the requester will submit all written documentation, evidence, or argument in support of the request. The director will notify the council of the request and provide the council an opportunity to defend its decision with written documentation, evidence, or argument, which is to be submitted within 20 days of receipt of the request. The council will provide copies of all documents to the requester at the time the items are submitted to the director.</w:t>
      </w:r>
    </w:p>
    <w:p>
      <w:pPr>
        <w:spacing w:before="0" w:after="0"/>
        <w:ind w:left="120"/>
        <w:jc w:val="both"/>
      </w:pPr>
      <w:r>
        <w:rPr>
          <w:rFonts w:ascii="Times New Roman" w:hAnsi="Times New Roman"/>
          <w:b w:val="false"/>
          <w:i w:val="false"/>
          <w:color w:val="000000"/>
          <w:sz w:val="22"/>
        </w:rPr>
        <w:t>The director will issue a decision granting or denying the Request for Reconsideration within 30 days of the receipt of the evidence, or no later than 60 days from the date of Request for Reconsideration, unless a later date is agreeable to the requester and the council.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281—64.18</w:t>
      </w:r>
      <w:r>
        <w:rPr>
          <w:rFonts w:ascii="Times New Roman" w:hAnsi="Times New Roman"/>
          <w:b/>
          <w:i w:val="false"/>
          <w:color w:val="000000"/>
          <w:sz w:val="22"/>
        </w:rPr>
        <w:t xml:space="preserve">(256A,279) </w:t>
      </w:r>
      <w:r>
        <w:rPr>
          <w:rFonts w:ascii="Times New Roman" w:hAnsi="Times New Roman"/>
          <w:b/>
          <w:i w:val="false"/>
          <w:color w:val="000000"/>
          <w:sz w:val="22"/>
        </w:rPr>
        <w:t xml:space="preserve">Refusal to issue decision on request. </w:t>
      </w:r>
      <w:r>
        <w:rPr>
          <w:rFonts w:ascii="Times New Roman" w:hAnsi="Times New Roman"/>
          <w:b w:val="false"/>
          <w:i w:val="false"/>
          <w:color w:val="000000"/>
          <w:sz w:val="22"/>
        </w:rPr>
        <w:t>The director may refuse to issue a decision on a Request for Reconsideration upon good cause. Good cause includes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request was untimely;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requester lacks standing to seek reconsideration;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request is not based on any of the available grounds in rule </w:t>
      </w:r>
      <w:hyperlink r:id="rId10">
        <w:r>
          <w:rPr>
            <w:rStyle w:val="Hyperlink"/>
            <w:rFonts w:ascii="Times New Roman" w:hAnsi="Times New Roman"/>
            <w:b w:val="false"/>
            <w:i w:val="false"/>
            <w:color w:val="000000"/>
            <w:sz w:val="22"/>
          </w:rPr>
          <w:t>281—64.17</w:t>
        </w:r>
      </w:hyperlink>
      <w:r>
        <w:rPr>
          <w:rFonts w:ascii="Times New Roman" w:hAnsi="Times New Roman"/>
          <w:b w:val="false"/>
          <w:i w:val="false"/>
          <w:color w:val="000000"/>
          <w:sz w:val="22"/>
        </w:rPr>
        <w:t>(256A,279), or is merely frivolous or vexatious;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requester failed to provide documentation, evidence or argument in support of its request;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request is moot due to negotiation and settlement of the issue(s).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281—64.19</w:t>
      </w:r>
      <w:r>
        <w:rPr>
          <w:rFonts w:ascii="Times New Roman" w:hAnsi="Times New Roman"/>
          <w:b/>
          <w:i w:val="false"/>
          <w:color w:val="000000"/>
          <w:sz w:val="22"/>
        </w:rPr>
        <w:t xml:space="preserve">(256A,279) </w:t>
      </w:r>
      <w:r>
        <w:rPr>
          <w:rFonts w:ascii="Times New Roman" w:hAnsi="Times New Roman"/>
          <w:b/>
          <w:i w:val="false"/>
          <w:color w:val="000000"/>
          <w:sz w:val="22"/>
        </w:rPr>
        <w:t xml:space="preserve">Granting a Request for Reconsideration. </w:t>
      </w:r>
      <w:r>
        <w:rPr>
          <w:rFonts w:ascii="Times New Roman" w:hAnsi="Times New Roman"/>
          <w:b w:val="false"/>
          <w:i w:val="false"/>
          <w:color w:val="000000"/>
          <w:sz w:val="22"/>
        </w:rPr>
        <w:t>If the director grants a Request for Reconsideration, the council will consider the grantee’s application in accordance with the director’s findings and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EDUCATIONAL SUPPORT PROGRAMS FOR PARENTS OF CHILDREN AGED BIRTH THROUGH FIVE YEARS WHO ARE AT RISK (ALSO KNOWN AS SHARED VISIONS PARENT SUPPORT PROGRAMS)</w:t>
      </w:r>
    </w:p>
    <w:p>
      <w:pPr>
        <w:spacing w:before="0" w:after="0"/>
        <w:ind w:left="120"/>
        <w:jc w:val="both"/>
      </w:pPr>
      <w:r>
        <w:rPr>
          <w:rFonts w:ascii="Times New Roman" w:hAnsi="Times New Roman"/>
          <w:b/>
          <w:i w:val="false"/>
          <w:color w:val="000000"/>
          <w:sz w:val="22"/>
        </w:rPr>
        <w:t>281—64.20</w:t>
      </w:r>
      <w:r>
        <w:rPr>
          <w:rFonts w:ascii="Times New Roman" w:hAnsi="Times New Roman"/>
          <w:b/>
          <w:i w:val="false"/>
          <w:color w:val="000000"/>
          <w:sz w:val="22"/>
        </w:rPr>
        <w:t xml:space="preserve">(256A,279)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 public school district, an area education agency or an agency which applies for the funds to provide quality educational support programs to parents of children aged birth through five years who are at risk, with an emphasis on parents of children aged birth through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“Children who are at risk”</w:t>
      </w:r>
      <w:r>
        <w:rPr>
          <w:rFonts w:ascii="Times New Roman" w:hAnsi="Times New Roman"/>
          <w:b w:val="false"/>
          <w:i w:val="false"/>
          <w:color w:val="000000"/>
          <w:sz w:val="22"/>
        </w:rPr>
        <w:t> </w:t>
      </w:r>
      <w:r>
        <w:rPr>
          <w:rFonts w:ascii="Times New Roman" w:hAnsi="Times New Roman"/>
          <w:b w:val="false"/>
          <w:i w:val="false"/>
          <w:color w:val="000000"/>
          <w:sz w:val="22"/>
        </w:rPr>
        <w:t>means children aged birth through five years who are at risk because of physical or environmental influence.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“Educational support services”</w:t>
      </w:r>
      <w:r>
        <w:rPr>
          <w:rFonts w:ascii="Times New Roman" w:hAnsi="Times New Roman"/>
          <w:b w:val="false"/>
          <w:i w:val="false"/>
          <w:color w:val="000000"/>
          <w:sz w:val="22"/>
        </w:rPr>
        <w:t> </w:t>
      </w:r>
      <w:r>
        <w:rPr>
          <w:rFonts w:ascii="Times New Roman" w:hAnsi="Times New Roman"/>
          <w:b w:val="false"/>
          <w:i w:val="false"/>
          <w:color w:val="000000"/>
          <w:sz w:val="22"/>
        </w:rPr>
        <w:t>means individual or group opportunities providing information to parents that focus on parenting skills, child growth and development, building of self-concept, nutrition, positive guidance techniques, family resource management, parent literacy, and how to access the array of supportive services from a network of agencies that are available to families with young children who are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“Quality educational support services”</w:t>
      </w:r>
      <w:r>
        <w:rPr>
          <w:rFonts w:ascii="Times New Roman" w:hAnsi="Times New Roman"/>
          <w:b w:val="false"/>
          <w:i w:val="false"/>
          <w:color w:val="000000"/>
          <w:sz w:val="22"/>
        </w:rPr>
        <w:t> </w:t>
      </w:r>
      <w:r>
        <w:rPr>
          <w:rFonts w:ascii="Times New Roman" w:hAnsi="Times New Roman"/>
          <w:b w:val="false"/>
          <w:i w:val="false"/>
          <w:color w:val="000000"/>
          <w:sz w:val="22"/>
        </w:rPr>
        <w:t>means educational support services that have a qualified or trained staff to provide a program which meets the needs of parents through the use of a validated curriculum or which is based on a model project which has proven successful in another state or location.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281—64.21</w:t>
      </w:r>
      <w:r>
        <w:rPr>
          <w:rFonts w:ascii="Times New Roman" w:hAnsi="Times New Roman"/>
          <w:b/>
          <w:i w:val="false"/>
          <w:color w:val="000000"/>
          <w:sz w:val="22"/>
        </w:rPr>
        <w:t xml:space="preserve">(256A,279) </w:t>
      </w:r>
      <w:r>
        <w:rPr>
          <w:rFonts w:ascii="Times New Roman" w:hAnsi="Times New Roman"/>
          <w:b/>
          <w:i w:val="false"/>
          <w:color w:val="000000"/>
          <w:sz w:val="22"/>
        </w:rPr>
        <w:t xml:space="preserve">Eligibility identification procedures. </w:t>
      </w:r>
      <w:r>
        <w:rPr>
          <w:rFonts w:ascii="Times New Roman" w:hAnsi="Times New Roman"/>
          <w:b w:val="false"/>
          <w:i w:val="false"/>
          <w:color w:val="000000"/>
          <w:sz w:val="22"/>
        </w:rPr>
        <w:t>In a year in which funds are made available by the Iowa legislature, the council will award grants to applicants for the provision of educational support services to parents of children aged birth through five years who are at risk, with priority to applicants that serve parents of children aged birth through three years who are at risk. Funds will be made available on a competitive basis to schools or nonprofit agencies demonstrating an ability to provide quality educational support services to parents of children aged birth through five years who are at risk. Competitive grants will be awarded with a renewal option for up to five years contingent upon the awardee’s meeting program requirements. If program requirements are not met, the council will advise the department to discontinue grant funding at the start of the following fiscal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281—64.22</w:t>
      </w:r>
      <w:r>
        <w:rPr>
          <w:rFonts w:ascii="Times New Roman" w:hAnsi="Times New Roman"/>
          <w:b/>
          <w:i w:val="false"/>
          <w:color w:val="000000"/>
          <w:sz w:val="22"/>
        </w:rPr>
        <w:t xml:space="preserve">(256A,279) </w:t>
      </w:r>
      <w:r>
        <w:rPr>
          <w:rFonts w:ascii="Times New Roman" w:hAnsi="Times New Roman"/>
          <w:b/>
          <w:i w:val="false"/>
          <w:color w:val="000000"/>
          <w:sz w:val="22"/>
        </w:rPr>
        <w:t xml:space="preserve">Eligibility. </w:t>
      </w:r>
      <w:r>
        <w:rPr>
          <w:rFonts w:ascii="Times New Roman" w:hAnsi="Times New Roman"/>
          <w:b w:val="false"/>
          <w:i w:val="false"/>
          <w:color w:val="000000"/>
          <w:sz w:val="22"/>
        </w:rPr>
        <w:t>The available funds shall be directed to serve parents of children aged birth through five years who are at risk in the primary eligibility category as follows:</w:t>
      </w:r>
    </w:p>
    <w:p>
      <w:pPr>
        <w:spacing w:before="0" w:after="0"/>
        <w:ind w:left="120"/>
        <w:jc w:val="both"/>
      </w:pPr>
      <w:r>
        <w:rPr>
          <w:rFonts w:ascii="Times New Roman" w:hAnsi="Times New Roman"/>
          <w:b w:val="false"/>
          <w:i w:val="false"/>
          <w:color w:val="000000"/>
          <w:sz w:val="22"/>
        </w:rPr>
        <w:t>Parents having one or more children aged birth through five years who meet the current income eligibility guidelines for free and reduced price meals under the child nutrition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281—64.23</w:t>
      </w:r>
      <w:r>
        <w:rPr>
          <w:rFonts w:ascii="Times New Roman" w:hAnsi="Times New Roman"/>
          <w:b/>
          <w:i w:val="false"/>
          <w:color w:val="000000"/>
          <w:sz w:val="22"/>
        </w:rPr>
        <w:t xml:space="preserve">(256A,279) </w:t>
      </w:r>
      <w:r>
        <w:rPr>
          <w:rFonts w:ascii="Times New Roman" w:hAnsi="Times New Roman"/>
          <w:b/>
          <w:i w:val="false"/>
          <w:color w:val="000000"/>
          <w:sz w:val="22"/>
        </w:rPr>
        <w:t xml:space="preserve">Secondary eligibility. </w:t>
      </w:r>
      <w:r>
        <w:rPr>
          <w:rFonts w:ascii="Times New Roman" w:hAnsi="Times New Roman"/>
          <w:b w:val="false"/>
          <w:i w:val="false"/>
          <w:color w:val="000000"/>
          <w:sz w:val="22"/>
        </w:rPr>
        <w:t>The available funds shall be directed to serve parents of children aged birth through five years who are at risk when children qualify in one or more of the secondary eligibility categories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Children who are abused.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Children functioning below chronological age in two or more developmental areas, one of which may be English proficiency, as determined by an appropriate professional.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Children born with one or more factors that are established as high risk for developmental delay, such as very low birth weight (under 1,500 grams—approximately three pounds) or with conditions such as spina bifida, Down syndrome, or other genetic disorders.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Children born to a parent who was under the age of 18.</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Children residing in a household where one or more of the parents or guardians: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Has not completed high school;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Has a substance use disorder;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Has a chronic mental illness;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incarcerated;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Has low literacy skills;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Has a history of child or spouse abuse;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an English learner.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Children having other special circumstances, such as foster care or being homeless.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281—64.24</w:t>
      </w:r>
      <w:r>
        <w:rPr>
          <w:rFonts w:ascii="Times New Roman" w:hAnsi="Times New Roman"/>
          <w:b/>
          <w:i w:val="false"/>
          <w:color w:val="000000"/>
          <w:sz w:val="22"/>
        </w:rPr>
        <w:t xml:space="preserve">(256A,279) </w:t>
      </w:r>
      <w:r>
        <w:rPr>
          <w:rFonts w:ascii="Times New Roman" w:hAnsi="Times New Roman"/>
          <w:b/>
          <w:i w:val="false"/>
          <w:color w:val="000000"/>
          <w:sz w:val="22"/>
        </w:rPr>
        <w:t xml:space="preserve">Grant awards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64.24(1)</w:t>
      </w:r>
      <w:r>
        <w:rPr>
          <w:rFonts w:ascii="Times New Roman" w:hAnsi="Times New Roman"/>
          <w:b w:val="false"/>
          <w:i w:val="false"/>
          <w:color w:val="000000"/>
          <w:sz w:val="22"/>
        </w:rPr>
        <w:t> </w:t>
      </w:r>
      <w:r>
        <w:rPr>
          <w:rFonts w:ascii="Times New Roman" w:hAnsi="Times New Roman"/>
          <w:b w:val="false"/>
          <w:i/>
          <w:color w:val="000000"/>
          <w:sz w:val="22"/>
        </w:rPr>
        <w:t xml:space="preserve">Criteria points. </w:t>
      </w:r>
      <w:r>
        <w:rPr>
          <w:rFonts w:ascii="Times New Roman" w:hAnsi="Times New Roman"/>
          <w:b w:val="false"/>
          <w:i w:val="false"/>
          <w:color w:val="000000"/>
          <w:sz w:val="22"/>
        </w:rPr>
        <w:t>The following information will be provided and points will be awarded to applicants based on the following criteria as stated in the request for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Identification of parents of children who are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Positive family focus.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Educational support programs to provide family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Community and interagency coordination.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Overall program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Letters of community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Program budget (administrative costs not to exceed 10 percent of total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64.24(2)</w:t>
      </w:r>
      <w:r>
        <w:rPr>
          <w:rFonts w:ascii="Times New Roman" w:hAnsi="Times New Roman"/>
          <w:b w:val="false"/>
          <w:i w:val="false"/>
          <w:color w:val="000000"/>
          <w:sz w:val="22"/>
        </w:rPr>
        <w:t> </w:t>
      </w:r>
      <w:r>
        <w:rPr>
          <w:rFonts w:ascii="Times New Roman" w:hAnsi="Times New Roman"/>
          <w:b w:val="false"/>
          <w:i/>
          <w:color w:val="000000"/>
          <w:sz w:val="22"/>
        </w:rPr>
        <w:t xml:space="preserve">Additional grant components. </w:t>
      </w:r>
      <w:r>
        <w:rPr>
          <w:rFonts w:ascii="Times New Roman" w:hAnsi="Times New Roman"/>
          <w:b w:val="false"/>
          <w:i w:val="false"/>
          <w:color w:val="000000"/>
          <w:sz w:val="22"/>
        </w:rPr>
        <w:t>The following information will be provided and points will be awarded to applicants based on the following additional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Documentation of a need for this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Justification of how this project will utilize services from other agencies and how this project will supplement services to the eligible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Identification of the curriculum to be used or the model to be replicated.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Demonstration that persons qualified to administer these educational support services to parents will be employed.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281—64.25</w:t>
      </w:r>
      <w:r>
        <w:rPr>
          <w:rFonts w:ascii="Times New Roman" w:hAnsi="Times New Roman"/>
          <w:b/>
          <w:i w:val="false"/>
          <w:color w:val="000000"/>
          <w:sz w:val="22"/>
        </w:rPr>
        <w:t xml:space="preserve">(256A,279) </w:t>
      </w:r>
      <w:r>
        <w:rPr>
          <w:rFonts w:ascii="Times New Roman" w:hAnsi="Times New Roman"/>
          <w:b/>
          <w:i w:val="false"/>
          <w:color w:val="000000"/>
          <w:sz w:val="22"/>
        </w:rPr>
        <w:t xml:space="preserve">Award contracts.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64.25(1)</w:t>
      </w:r>
      <w:r>
        <w:rPr>
          <w:rFonts w:ascii="Times New Roman" w:hAnsi="Times New Roman"/>
          <w:b w:val="false"/>
          <w:i w:val="false"/>
          <w:color w:val="000000"/>
          <w:sz w:val="22"/>
        </w:rPr>
        <w:t> </w:t>
      </w:r>
      <w:r>
        <w:rPr>
          <w:rFonts w:ascii="Times New Roman" w:hAnsi="Times New Roman"/>
          <w:b w:val="false"/>
          <w:i w:val="false"/>
          <w:color w:val="000000"/>
          <w:sz w:val="22"/>
        </w:rPr>
        <w:t>Grants for educational support services to parents of children aged birth through five years who are at risk shall not supplant other existing funding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64.25(2)</w:t>
      </w:r>
      <w:r>
        <w:rPr>
          <w:rFonts w:ascii="Times New Roman" w:hAnsi="Times New Roman"/>
          <w:b w:val="false"/>
          <w:i w:val="false"/>
          <w:color w:val="000000"/>
          <w:sz w:val="22"/>
        </w:rPr>
        <w:t> </w:t>
      </w:r>
      <w:r>
        <w:rPr>
          <w:rFonts w:ascii="Times New Roman" w:hAnsi="Times New Roman"/>
          <w:b w:val="false"/>
          <w:i w:val="false"/>
          <w:color w:val="000000"/>
          <w:sz w:val="22"/>
        </w:rPr>
        <w:t>Administrative costs are limited to 10 percent of the total award.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281—64.26</w:t>
      </w:r>
      <w:r>
        <w:rPr>
          <w:rFonts w:ascii="Times New Roman" w:hAnsi="Times New Roman"/>
          <w:b/>
          <w:i w:val="false"/>
          <w:color w:val="000000"/>
          <w:sz w:val="22"/>
        </w:rPr>
        <w:t xml:space="preserve">(256A,279) </w:t>
      </w:r>
      <w:r>
        <w:rPr>
          <w:rFonts w:ascii="Times New Roman" w:hAnsi="Times New Roman"/>
          <w:b/>
          <w:i w:val="false"/>
          <w:color w:val="000000"/>
          <w:sz w:val="22"/>
        </w:rPr>
        <w:t xml:space="preserve">Grantee responsibilities. </w:t>
      </w:r>
      <w:r>
        <w:rPr>
          <w:rFonts w:ascii="Times New Roman" w:hAnsi="Times New Roman"/>
          <w:b w:val="false"/>
          <w:i w:val="false"/>
          <w:color w:val="000000"/>
          <w:sz w:val="22"/>
        </w:rPr>
        <w:t>The grantee will maintain records which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Demographic information on parents and children served.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Qualifying criteria for those parents receiving educational support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Documentation of the number of contact hours in either individual or group sessions with parents.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Documentation of the type of educational support services provided to parents.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Indication of where the services were provided, i.e., home, school or community facility.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Evaluation of how each project goal and objective was met, on what timeline, and with what success rate.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Record of expenditures and an annual audit. Grant funding is to support direct services to families and their children to the fullest extent possible.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Other information specified by the council necessary to the overall evaluation.</w:t>
      </w:r>
    </w:p>
    <w:p>
      <w:pPr>
        <w:spacing w:before="0" w:after="0"/>
        <w:ind w:left="120"/>
        <w:jc w:val="both"/>
      </w:pPr>
      <w:r>
        <w:rPr>
          <w:rFonts w:ascii="Times New Roman" w:hAnsi="Times New Roman"/>
          <w:b w:val="false"/>
          <w:i w:val="false"/>
          <w:color w:val="000000"/>
          <w:sz w:val="22"/>
        </w:rPr>
        <w:t>Grantees will complete a year-end report on forms provided by the department documenting the information outlined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CHILD DEVELOPMENT PROGRAMS (ALSO KNOWN AS SHARED VISIONS PRESCHOOL PROGRAMS)</w:t>
      </w:r>
    </w:p>
    <w:p>
      <w:pPr>
        <w:spacing w:before="0" w:after="0"/>
        <w:ind w:left="120"/>
        <w:jc w:val="both"/>
      </w:pPr>
      <w:r>
        <w:rPr>
          <w:rFonts w:ascii="Times New Roman" w:hAnsi="Times New Roman"/>
          <w:b/>
          <w:i w:val="false"/>
          <w:color w:val="000000"/>
          <w:sz w:val="22"/>
        </w:rPr>
        <w:t>281—64.27</w:t>
      </w:r>
      <w:r>
        <w:rPr>
          <w:rFonts w:ascii="Times New Roman" w:hAnsi="Times New Roman"/>
          <w:b/>
          <w:i w:val="false"/>
          <w:color w:val="000000"/>
          <w:sz w:val="22"/>
        </w:rPr>
        <w:t xml:space="preserve">(256A,279) </w:t>
      </w:r>
      <w:r>
        <w:rPr>
          <w:rFonts w:ascii="Times New Roman" w:hAnsi="Times New Roman"/>
          <w:b/>
          <w:i w:val="false"/>
          <w:color w:val="000000"/>
          <w:sz w:val="22"/>
        </w:rPr>
        <w:t xml:space="preserve">Definitions applicable to this division.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 public or private nonprofit organization, licensed by the department of health and human services or approved by the department of education, which applies for the state child development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development grants”</w:t>
      </w:r>
      <w:r>
        <w:rPr>
          <w:rFonts w:ascii="Times New Roman" w:hAnsi="Times New Roman"/>
          <w:b w:val="false"/>
          <w:i w:val="false"/>
          <w:color w:val="000000"/>
          <w:sz w:val="22"/>
        </w:rPr>
        <w:t> </w:t>
      </w:r>
      <w:r>
        <w:rPr>
          <w:rFonts w:ascii="Times New Roman" w:hAnsi="Times New Roman"/>
          <w:b w:val="false"/>
          <w:i w:val="false"/>
          <w:color w:val="000000"/>
          <w:sz w:val="22"/>
        </w:rPr>
        <w:t>means the funds awarded by the council to assist child development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“Children who are at risk”</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student who meets one or more of the primary and secondary risk factors stated in rules </w:t>
      </w:r>
      <w:hyperlink r:id="rId11">
        <w:r>
          <w:rPr>
            <w:rStyle w:val="Hyperlink"/>
            <w:rFonts w:ascii="Times New Roman" w:hAnsi="Times New Roman"/>
            <w:b w:val="false"/>
            <w:i w:val="false"/>
            <w:color w:val="000000"/>
            <w:sz w:val="22"/>
          </w:rPr>
          <w:t>281—64.29</w:t>
        </w:r>
      </w:hyperlink>
      <w:r>
        <w:rPr>
          <w:rFonts w:ascii="Times New Roman" w:hAnsi="Times New Roman"/>
          <w:b w:val="false"/>
          <w:i w:val="false"/>
          <w:color w:val="000000"/>
          <w:sz w:val="22"/>
        </w:rPr>
        <w:t xml:space="preserve">(256A,279) and </w:t>
      </w:r>
      <w:hyperlink r:id="rId12">
        <w:r>
          <w:rPr>
            <w:rStyle w:val="Hyperlink"/>
            <w:rFonts w:ascii="Times New Roman" w:hAnsi="Times New Roman"/>
            <w:b w:val="false"/>
            <w:i w:val="false"/>
            <w:color w:val="000000"/>
            <w:sz w:val="22"/>
          </w:rPr>
          <w:t>281—64.30</w:t>
        </w:r>
      </w:hyperlink>
      <w:r>
        <w:rPr>
          <w:rFonts w:ascii="Times New Roman" w:hAnsi="Times New Roman"/>
          <w:b w:val="false"/>
          <w:i w:val="false"/>
          <w:color w:val="000000"/>
          <w:sz w:val="22"/>
        </w:rPr>
        <w:t>(256A,279).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“Low-income family”</w:t>
      </w:r>
      <w:r>
        <w:rPr>
          <w:rFonts w:ascii="Times New Roman" w:hAnsi="Times New Roman"/>
          <w:b w:val="false"/>
          <w:i w:val="false"/>
          <w:color w:val="000000"/>
          <w:sz w:val="22"/>
        </w:rPr>
        <w:t> </w:t>
      </w:r>
      <w:r>
        <w:rPr>
          <w:rFonts w:ascii="Times New Roman" w:hAnsi="Times New Roman"/>
          <w:b w:val="false"/>
          <w:i w:val="false"/>
          <w:color w:val="000000"/>
          <w:sz w:val="22"/>
        </w:rPr>
        <w:t>means a family who meets the financial eligibility criteria for free and reduced price meals offered under the child nutrition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“Project”</w:t>
      </w:r>
      <w:r>
        <w:rPr>
          <w:rFonts w:ascii="Times New Roman" w:hAnsi="Times New Roman"/>
          <w:b w:val="false"/>
          <w:i w:val="false"/>
          <w:color w:val="000000"/>
          <w:sz w:val="22"/>
        </w:rPr>
        <w:t> </w:t>
      </w:r>
      <w:r>
        <w:rPr>
          <w:rFonts w:ascii="Times New Roman" w:hAnsi="Times New Roman"/>
          <w:b w:val="false"/>
          <w:i w:val="false"/>
          <w:color w:val="000000"/>
          <w:sz w:val="22"/>
        </w:rPr>
        <w:t>means the child development program for which grant funds are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school applicant”</w:t>
      </w:r>
      <w:r>
        <w:rPr>
          <w:rFonts w:ascii="Times New Roman" w:hAnsi="Times New Roman"/>
          <w:b w:val="false"/>
          <w:i w:val="false"/>
          <w:color w:val="000000"/>
          <w:sz w:val="22"/>
        </w:rPr>
        <w:t> </w:t>
      </w:r>
      <w:r>
        <w:rPr>
          <w:rFonts w:ascii="Times New Roman" w:hAnsi="Times New Roman"/>
          <w:b w:val="false"/>
          <w:i w:val="false"/>
          <w:color w:val="000000"/>
          <w:sz w:val="22"/>
        </w:rPr>
        <w:t>means a public school district approved by the department which applies for the state public school child development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school child development grants”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funds awarded by the council to assist public school child development programs as established in Iowa Code section </w:t>
      </w:r>
      <w:hyperlink r:id="rId13">
        <w:r>
          <w:rPr>
            <w:rStyle w:val="Hyperlink"/>
            <w:rFonts w:ascii="Times New Roman" w:hAnsi="Times New Roman"/>
            <w:b w:val="false"/>
            <w:i w:val="false"/>
            <w:color w:val="000000"/>
            <w:sz w:val="22"/>
          </w:rPr>
          <w:t>279.51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school grantee”</w:t>
      </w:r>
      <w:r>
        <w:rPr>
          <w:rFonts w:ascii="Times New Roman" w:hAnsi="Times New Roman"/>
          <w:b w:val="false"/>
          <w:i w:val="false"/>
          <w:color w:val="000000"/>
          <w:sz w:val="22"/>
        </w:rPr>
        <w:t> </w:t>
      </w:r>
      <w:r>
        <w:rPr>
          <w:rFonts w:ascii="Times New Roman" w:hAnsi="Times New Roman"/>
          <w:b w:val="false"/>
          <w:i w:val="false"/>
          <w:color w:val="000000"/>
          <w:sz w:val="22"/>
        </w:rPr>
        <w:t>means the applicant designated to receive public school child development grants.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school project”</w:t>
      </w:r>
      <w:r>
        <w:rPr>
          <w:rFonts w:ascii="Times New Roman" w:hAnsi="Times New Roman"/>
          <w:b w:val="false"/>
          <w:i w:val="false"/>
          <w:color w:val="000000"/>
          <w:sz w:val="22"/>
        </w:rPr>
        <w:t> </w:t>
      </w:r>
      <w:r>
        <w:rPr>
          <w:rFonts w:ascii="Times New Roman" w:hAnsi="Times New Roman"/>
          <w:b w:val="false"/>
          <w:i w:val="false"/>
          <w:color w:val="000000"/>
          <w:sz w:val="22"/>
        </w:rPr>
        <w:t>means the public school child development program for which grant funds are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281—64.28</w:t>
      </w:r>
      <w:r>
        <w:rPr>
          <w:rFonts w:ascii="Times New Roman" w:hAnsi="Times New Roman"/>
          <w:b/>
          <w:i w:val="false"/>
          <w:color w:val="000000"/>
          <w:sz w:val="22"/>
        </w:rPr>
        <w:t xml:space="preserve">(256A,279) </w:t>
      </w:r>
      <w:r>
        <w:rPr>
          <w:rFonts w:ascii="Times New Roman" w:hAnsi="Times New Roman"/>
          <w:b/>
          <w:i w:val="false"/>
          <w:color w:val="000000"/>
          <w:sz w:val="22"/>
        </w:rPr>
        <w:t xml:space="preserve">Eligibility identification procedures. </w:t>
      </w:r>
      <w:r>
        <w:rPr>
          <w:rFonts w:ascii="Times New Roman" w:hAnsi="Times New Roman"/>
          <w:b w:val="false"/>
          <w:i w:val="false"/>
          <w:color w:val="000000"/>
          <w:sz w:val="22"/>
        </w:rPr>
        <w:t>In a year in which funds are made available by the Iowa legislature, the council will grant awards on a competitive basis to child development programs for three- and four-year-old children who are at risk and public school child development programs for three-, four-, and five-year-old children who are at risk. Competitive grants will be awarded with a renewal option for up to five years when grantees meet program requirements. If program requirements are not met, the council will advise the department to discontinue grant funding at the start of the following fiscal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281—64.29</w:t>
      </w:r>
      <w:r>
        <w:rPr>
          <w:rFonts w:ascii="Times New Roman" w:hAnsi="Times New Roman"/>
          <w:b/>
          <w:i w:val="false"/>
          <w:color w:val="000000"/>
          <w:sz w:val="22"/>
        </w:rPr>
        <w:t xml:space="preserve">(256A,279) </w:t>
      </w:r>
      <w:r>
        <w:rPr>
          <w:rFonts w:ascii="Times New Roman" w:hAnsi="Times New Roman"/>
          <w:b/>
          <w:i w:val="false"/>
          <w:color w:val="000000"/>
          <w:sz w:val="22"/>
        </w:rPr>
        <w:t xml:space="preserve">Primary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64.29(1)</w:t>
      </w:r>
      <w:r>
        <w:rPr>
          <w:rFonts w:ascii="Times New Roman" w:hAnsi="Times New Roman"/>
          <w:b w:val="false"/>
          <w:i w:val="false"/>
          <w:color w:val="000000"/>
          <w:sz w:val="22"/>
        </w:rPr>
        <w:t> </w:t>
      </w:r>
      <w:r>
        <w:rPr>
          <w:rFonts w:ascii="Times New Roman" w:hAnsi="Times New Roman"/>
          <w:b w:val="false"/>
          <w:i/>
          <w:color w:val="000000"/>
          <w:sz w:val="22"/>
        </w:rPr>
        <w:t xml:space="preserve">Child development grants. </w:t>
      </w:r>
      <w:r>
        <w:rPr>
          <w:rFonts w:ascii="Times New Roman" w:hAnsi="Times New Roman"/>
          <w:b w:val="false"/>
          <w:i w:val="false"/>
          <w:color w:val="000000"/>
          <w:sz w:val="22"/>
        </w:rPr>
        <w:t>At least 80 percent of the funded available enrollment slots for three- and four-year-old children who are at risk will be directed to serve children in primary eligibility categories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Children reaching three or four years of age on or before September 15 of the contract year;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Members of a low-income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64.29(2)</w:t>
      </w:r>
      <w:r>
        <w:rPr>
          <w:rFonts w:ascii="Times New Roman" w:hAnsi="Times New Roman"/>
          <w:b w:val="false"/>
          <w:i w:val="false"/>
          <w:color w:val="000000"/>
          <w:sz w:val="22"/>
        </w:rPr>
        <w:t> </w:t>
      </w:r>
      <w:r>
        <w:rPr>
          <w:rFonts w:ascii="Times New Roman" w:hAnsi="Times New Roman"/>
          <w:b w:val="false"/>
          <w:i/>
          <w:color w:val="000000"/>
          <w:sz w:val="22"/>
        </w:rPr>
        <w:t xml:space="preserve">Public school child development grants. </w:t>
      </w:r>
      <w:r>
        <w:rPr>
          <w:rFonts w:ascii="Times New Roman" w:hAnsi="Times New Roman"/>
          <w:b w:val="false"/>
          <w:i w:val="false"/>
          <w:color w:val="000000"/>
          <w:sz w:val="22"/>
        </w:rPr>
        <w:t>At least 80 percent of the funded available enrollment for three-, four-, and five-year-old children who are at risk in public school child development programs will be directed to serve children in primary eligibility categories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Children reaching three, four, or five years of age on or before September 15 of the contract year;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Members of a low-income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64.29(3)</w:t>
      </w:r>
      <w:r>
        <w:rPr>
          <w:rFonts w:ascii="Times New Roman" w:hAnsi="Times New Roman"/>
          <w:b w:val="false"/>
          <w:i w:val="false"/>
          <w:color w:val="000000"/>
          <w:sz w:val="22"/>
        </w:rPr>
        <w:t> </w:t>
      </w:r>
      <w:r>
        <w:rPr>
          <w:rFonts w:ascii="Times New Roman" w:hAnsi="Times New Roman"/>
          <w:b w:val="false"/>
          <w:i/>
          <w:color w:val="000000"/>
          <w:sz w:val="22"/>
        </w:rPr>
        <w:t xml:space="preserve">Enrollment criteria. </w:t>
      </w:r>
      <w:r>
        <w:rPr>
          <w:rFonts w:ascii="Times New Roman" w:hAnsi="Times New Roman"/>
          <w:b w:val="false"/>
          <w:i w:val="false"/>
          <w:color w:val="000000"/>
          <w:sz w:val="22"/>
        </w:rPr>
        <w:t>Applicants are to document the number of children enrolled under primary eligibility and the criteria used for enrollment.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281—64.30</w:t>
      </w:r>
      <w:r>
        <w:rPr>
          <w:rFonts w:ascii="Times New Roman" w:hAnsi="Times New Roman"/>
          <w:b/>
          <w:i w:val="false"/>
          <w:color w:val="000000"/>
          <w:sz w:val="22"/>
        </w:rPr>
        <w:t xml:space="preserve">(256A,279) </w:t>
      </w:r>
      <w:r>
        <w:rPr>
          <w:rFonts w:ascii="Times New Roman" w:hAnsi="Times New Roman"/>
          <w:b/>
          <w:i w:val="false"/>
          <w:color w:val="000000"/>
          <w:sz w:val="22"/>
        </w:rPr>
        <w:t xml:space="preserve">Secondary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64.30(1)</w:t>
      </w:r>
      <w:r>
        <w:rPr>
          <w:rFonts w:ascii="Times New Roman" w:hAnsi="Times New Roman"/>
          <w:b w:val="false"/>
          <w:i w:val="false"/>
          <w:color w:val="000000"/>
          <w:sz w:val="22"/>
        </w:rPr>
        <w:t> </w:t>
      </w:r>
      <w:r>
        <w:rPr>
          <w:rFonts w:ascii="Times New Roman" w:hAnsi="Times New Roman"/>
          <w:b w:val="false"/>
          <w:i/>
          <w:color w:val="000000"/>
          <w:sz w:val="22"/>
        </w:rPr>
        <w:t xml:space="preserve">Criteria. </w:t>
      </w:r>
      <w:r>
        <w:rPr>
          <w:rFonts w:ascii="Times New Roman" w:hAnsi="Times New Roman"/>
          <w:b w:val="false"/>
          <w:i w:val="false"/>
          <w:color w:val="000000"/>
          <w:sz w:val="22"/>
        </w:rPr>
        <w:t>Up to 20 percent of the available funded child development enrollment slots for at-risk may be filled by children who are three or four years of age on or before September 15 or public school enrollment slots by children who are three, four, or five years of age on or before September 15; are above the income eligibility guidelines provided that they are served on a sliding fee schedule determined at the local level; and are eligible according to one or more of the following criteria if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functioning below chronological age in two or more developmental areas, one of which may be English proficiency, as determined by an appropriate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Was born with one or more factors that are established as high risk for developmental delay, such as very low birth weight (under 1,500 grams—approximately three pounds) or with conditions such as spina bifida, Down syndrome, or other genetic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Was born to a parent who was under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Resides in a household where one or more of the parents or guardians: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not completed high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a substance use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a chronic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low literacy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Is incarcerated;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Has a history of child or spousal abuse;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other special circumstances, such as foster care or being homeless.</w:t>
      </w:r>
    </w:p>
    <w:p>
      <w:pPr>
        <w:spacing w:before="0" w:after="0"/>
        <w:ind w:left="120"/>
        <w:jc w:val="both"/>
      </w:pPr>
      <w:r>
        <w:rPr>
          <w:rFonts w:ascii="Times New Roman" w:hAnsi="Times New Roman"/>
          <w:b w:val="false"/>
          <w:i w:val="false"/>
          <w:color w:val="000000"/>
          <w:sz w:val="22"/>
        </w:rPr>
        <w:t>The program may include children without risk factors, provided they are at full pay and meet other age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64.30(2)</w:t>
      </w:r>
      <w:r>
        <w:rPr>
          <w:rFonts w:ascii="Times New Roman" w:hAnsi="Times New Roman"/>
          <w:b w:val="false"/>
          <w:i w:val="false"/>
          <w:color w:val="000000"/>
          <w:sz w:val="22"/>
        </w:rPr>
        <w:t> </w:t>
      </w:r>
      <w:r>
        <w:rPr>
          <w:rFonts w:ascii="Times New Roman" w:hAnsi="Times New Roman"/>
          <w:b w:val="false"/>
          <w:i/>
          <w:color w:val="000000"/>
          <w:sz w:val="22"/>
        </w:rPr>
        <w:t xml:space="preserve">Enrollment criteria. </w:t>
      </w:r>
      <w:r>
        <w:rPr>
          <w:rFonts w:ascii="Times New Roman" w:hAnsi="Times New Roman"/>
          <w:b w:val="false"/>
          <w:i w:val="false"/>
          <w:color w:val="000000"/>
          <w:sz w:val="22"/>
        </w:rPr>
        <w:t>Applicants are to document the number of children enrolled under secondary eligibility and the criteria used for enrollment.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281—64.31</w:t>
      </w:r>
      <w:r>
        <w:rPr>
          <w:rFonts w:ascii="Times New Roman" w:hAnsi="Times New Roman"/>
          <w:b/>
          <w:i w:val="false"/>
          <w:color w:val="000000"/>
          <w:sz w:val="22"/>
        </w:rPr>
        <w:t xml:space="preserve">(256A,279) </w:t>
      </w:r>
      <w:r>
        <w:rPr>
          <w:rFonts w:ascii="Times New Roman" w:hAnsi="Times New Roman"/>
          <w:b/>
          <w:i w:val="false"/>
          <w:color w:val="000000"/>
          <w:sz w:val="22"/>
        </w:rPr>
        <w:t xml:space="preserve">Grant awards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64.31(1)</w:t>
      </w:r>
      <w:r>
        <w:rPr>
          <w:rFonts w:ascii="Times New Roman" w:hAnsi="Times New Roman"/>
          <w:b w:val="false"/>
          <w:i w:val="false"/>
          <w:color w:val="000000"/>
          <w:sz w:val="22"/>
        </w:rPr>
        <w:t> </w:t>
      </w:r>
      <w:r>
        <w:rPr>
          <w:rFonts w:ascii="Times New Roman" w:hAnsi="Times New Roman"/>
          <w:b w:val="false"/>
          <w:i/>
          <w:color w:val="000000"/>
          <w:sz w:val="22"/>
        </w:rPr>
        <w:t xml:space="preserve">Criteria points. </w:t>
      </w:r>
      <w:r>
        <w:rPr>
          <w:rFonts w:ascii="Times New Roman" w:hAnsi="Times New Roman"/>
          <w:b w:val="false"/>
          <w:i w:val="false"/>
          <w:color w:val="000000"/>
          <w:sz w:val="22"/>
        </w:rPr>
        <w:t>The following information shall be provided and points awarded to applicants based on the following criteria as stated in the request for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Provision of a comprehensive child development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Limited class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Child-teacher ratios of not less than one staff member per eight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Provision of parental involvement.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Demonstration of community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Utilization of services provided by other community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Use of qualified teachers.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Existence of a plan for program evaluation including, but not limited to, measurement of student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Developmentally appropriate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64.31(2)</w:t>
      </w:r>
      <w:r>
        <w:rPr>
          <w:rFonts w:ascii="Times New Roman" w:hAnsi="Times New Roman"/>
          <w:b w:val="false"/>
          <w:i w:val="false"/>
          <w:color w:val="000000"/>
          <w:sz w:val="22"/>
        </w:rPr>
        <w:t> </w:t>
      </w:r>
      <w:r>
        <w:rPr>
          <w:rFonts w:ascii="Times New Roman" w:hAnsi="Times New Roman"/>
          <w:b w:val="false"/>
          <w:i/>
          <w:color w:val="000000"/>
          <w:sz w:val="22"/>
        </w:rPr>
        <w:t xml:space="preserve">Additional grant components. </w:t>
      </w:r>
      <w:r>
        <w:rPr>
          <w:rFonts w:ascii="Times New Roman" w:hAnsi="Times New Roman"/>
          <w:b w:val="false"/>
          <w:i w:val="false"/>
          <w:color w:val="000000"/>
          <w:sz w:val="22"/>
        </w:rPr>
        <w:t>The following information shall be provided and points awarded to applicants based on the following additional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Program summary.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Research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Identification and documentation of local populations who are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Letters of community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Program budget (administrative costs not to exceed 10 percent of total award).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281—64.32</w:t>
      </w:r>
      <w:r>
        <w:rPr>
          <w:rFonts w:ascii="Times New Roman" w:hAnsi="Times New Roman"/>
          <w:b/>
          <w:i w:val="false"/>
          <w:color w:val="000000"/>
          <w:sz w:val="22"/>
        </w:rPr>
        <w:t xml:space="preserve">(256A,279) </w:t>
      </w:r>
      <w:r>
        <w:rPr>
          <w:rFonts w:ascii="Times New Roman" w:hAnsi="Times New Roman"/>
          <w:b/>
          <w:i w:val="false"/>
          <w:color w:val="000000"/>
          <w:sz w:val="22"/>
        </w:rPr>
        <w:t xml:space="preserve">Grant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64.32(1)</w:t>
      </w:r>
      <w:r>
        <w:rPr>
          <w:rFonts w:ascii="Times New Roman" w:hAnsi="Times New Roman"/>
          <w:b w:val="false"/>
          <w:i w:val="false"/>
          <w:color w:val="000000"/>
          <w:sz w:val="22"/>
        </w:rPr>
        <w:t> </w:t>
      </w:r>
      <w:r>
        <w:rPr>
          <w:rFonts w:ascii="Times New Roman" w:hAnsi="Times New Roman"/>
          <w:b w:val="false"/>
          <w:i w:val="false"/>
          <w:color w:val="000000"/>
          <w:sz w:val="22"/>
        </w:rPr>
        <w:t>An applicant will make formal response using forms issued and procedures established by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64.32(2)</w:t>
      </w:r>
      <w:r>
        <w:rPr>
          <w:rFonts w:ascii="Times New Roman" w:hAnsi="Times New Roman"/>
          <w:b w:val="false"/>
          <w:i w:val="false"/>
          <w:color w:val="000000"/>
          <w:sz w:val="22"/>
        </w:rPr>
        <w:t> </w:t>
      </w:r>
      <w:r>
        <w:rPr>
          <w:rFonts w:ascii="Times New Roman" w:hAnsi="Times New Roman"/>
          <w:b w:val="false"/>
          <w:i w:val="false"/>
          <w:color w:val="000000"/>
          <w:sz w:val="22"/>
        </w:rPr>
        <w:t>A rating team composed of persons with expertise in child development programs and fiscal management experience will review and rank the proposals.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64.32(3)</w:t>
      </w:r>
      <w:r>
        <w:rPr>
          <w:rFonts w:ascii="Times New Roman" w:hAnsi="Times New Roman"/>
          <w:b w:val="false"/>
          <w:i w:val="false"/>
          <w:color w:val="000000"/>
          <w:sz w:val="22"/>
        </w:rPr>
        <w:t> </w:t>
      </w:r>
      <w:r>
        <w:rPr>
          <w:rFonts w:ascii="Times New Roman" w:hAnsi="Times New Roman"/>
          <w:b w:val="false"/>
          <w:i w:val="false"/>
          <w:color w:val="000000"/>
          <w:sz w:val="22"/>
        </w:rPr>
        <w:t>The council has the final discretion to award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64.32(4)</w:t>
      </w:r>
      <w:r>
        <w:rPr>
          <w:rFonts w:ascii="Times New Roman" w:hAnsi="Times New Roman"/>
          <w:b w:val="false"/>
          <w:i w:val="false"/>
          <w:color w:val="000000"/>
          <w:sz w:val="22"/>
        </w:rPr>
        <w:t> </w:t>
      </w:r>
      <w:r>
        <w:rPr>
          <w:rFonts w:ascii="Times New Roman" w:hAnsi="Times New Roman"/>
          <w:b w:val="false"/>
          <w:i w:val="false"/>
          <w:color w:val="000000"/>
          <w:sz w:val="22"/>
        </w:rPr>
        <w:t>The council will advise the department to notify successful applicants and to provide to each of them a contract for signature.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281—64.33</w:t>
      </w:r>
      <w:r>
        <w:rPr>
          <w:rFonts w:ascii="Times New Roman" w:hAnsi="Times New Roman"/>
          <w:b/>
          <w:i w:val="false"/>
          <w:color w:val="000000"/>
          <w:sz w:val="22"/>
        </w:rPr>
        <w:t xml:space="preserve">(256A,279) </w:t>
      </w:r>
      <w:r>
        <w:rPr>
          <w:rFonts w:ascii="Times New Roman" w:hAnsi="Times New Roman"/>
          <w:b/>
          <w:i w:val="false"/>
          <w:color w:val="000000"/>
          <w:sz w:val="22"/>
        </w:rPr>
        <w:t xml:space="preserve">Grantee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64.33(1)</w:t>
      </w:r>
      <w:r>
        <w:rPr>
          <w:rFonts w:ascii="Times New Roman" w:hAnsi="Times New Roman"/>
          <w:b w:val="false"/>
          <w:i w:val="false"/>
          <w:color w:val="000000"/>
          <w:sz w:val="22"/>
        </w:rPr>
        <w:t> </w:t>
      </w:r>
      <w:r>
        <w:rPr>
          <w:rFonts w:ascii="Times New Roman" w:hAnsi="Times New Roman"/>
          <w:b w:val="false"/>
          <w:i w:val="false"/>
          <w:color w:val="000000"/>
          <w:sz w:val="22"/>
        </w:rPr>
        <w:t>The grantee will maintain records which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on children and families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Direct services provided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 of budget, including expenditures. Grant funding is to support direct services to children to the fullest extent possible. Administrative costs under these programs is limited to 10 percent of the total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appropriate information specified by the council necessary to the overall evaluation.</w:t>
      </w:r>
    </w:p>
    <w:p>
      <w:pPr>
        <w:spacing w:before="0" w:after="0"/>
        <w:ind w:left="120"/>
        <w:jc w:val="both"/>
      </w:pPr>
      <w:r>
        <w:rPr>
          <w:rFonts w:ascii="Times New Roman" w:hAnsi="Times New Roman"/>
          <w:b w:val="false"/>
          <w:i w:val="false"/>
          <w:color w:val="000000"/>
          <w:sz w:val="22"/>
        </w:rPr>
        <w:t>Monitoring of such records will be conducted through the submission of annual reports by the grantee and may include on-site review as determined necessary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64.33(2)</w:t>
      </w:r>
      <w:r>
        <w:rPr>
          <w:rFonts w:ascii="Times New Roman" w:hAnsi="Times New Roman"/>
          <w:b w:val="false"/>
          <w:i w:val="false"/>
          <w:color w:val="000000"/>
          <w:sz w:val="22"/>
        </w:rPr>
        <w:t> </w:t>
      </w:r>
      <w:r>
        <w:rPr>
          <w:rFonts w:ascii="Times New Roman" w:hAnsi="Times New Roman"/>
          <w:b w:val="false"/>
          <w:i w:val="false"/>
          <w:color w:val="000000"/>
          <w:sz w:val="22"/>
        </w:rPr>
        <w:t>Programs in year one of award. Each program in year one of a grant shall meet the program standards and accreditation criteria of the National Association for the Education of Young Children, the Iowa quality preschool program standards, or other approved program standards as determined by the department during the program’s first year of funding. Programs that do not attain accreditation or that do not receive a waiver will not be funded.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64.33(3)</w:t>
      </w:r>
      <w:r>
        <w:rPr>
          <w:rFonts w:ascii="Times New Roman" w:hAnsi="Times New Roman"/>
          <w:b w:val="false"/>
          <w:i w:val="false"/>
          <w:color w:val="000000"/>
          <w:sz w:val="22"/>
        </w:rPr>
        <w:t> </w:t>
      </w:r>
      <w:r>
        <w:rPr>
          <w:rFonts w:ascii="Times New Roman" w:hAnsi="Times New Roman"/>
          <w:b w:val="false"/>
          <w:i w:val="false"/>
          <w:color w:val="000000"/>
          <w:sz w:val="22"/>
        </w:rPr>
        <w:t>Programs in renewal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Programs shall participate in the renewal process and maintain accreditation with the National Association for the Education of Young Children, the Iowa quality preschool program standards and criteria, or other approved program standards as determined by the department. Programs unable to maintain accreditation may apply for a waiver of accreditation within 30 days of the change in accreditation status. Waivers are awarded at the discretion of the council. Programs that do not maintain accreditation or that do not receive a waiver will not be funded.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Continuation of a grantee’s participation for a second or subsequent renewal year is subject to the approval of the department based upon the grantee’s compliance with program requirements and the department’s review of the grantee’s implementation of the grant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Awarded grantees are to maintain the program standards identified in the awarded application throughout the five-year grant cycle, unless unforeseen circumstances occur. Such circumstances will be considered at the discretion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64.33(4)</w:t>
      </w:r>
      <w:r>
        <w:rPr>
          <w:rFonts w:ascii="Times New Roman" w:hAnsi="Times New Roman"/>
          <w:b w:val="false"/>
          <w:i w:val="false"/>
          <w:color w:val="000000"/>
          <w:sz w:val="22"/>
        </w:rPr>
        <w:t> </w:t>
      </w:r>
      <w:r>
        <w:rPr>
          <w:rFonts w:ascii="Times New Roman" w:hAnsi="Times New Roman"/>
          <w:b w:val="false"/>
          <w:i w:val="false"/>
          <w:color w:val="000000"/>
          <w:sz w:val="22"/>
        </w:rPr>
        <w:t>Grantees will provide annual reports that include information detailing progress toward goals and objectives, expenditures and services provided on forms provided for those reports. Failure to submit reports by the due date will result in suspension of financial payments to the grantee until the time that the report is received. No funds will be made available to programs in renewal years when there are delinquent reports from prior years. No new initial awards will be made to programs when there are delinquent reports from prior grant cycles.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64.33(5)</w:t>
      </w:r>
      <w:r>
        <w:rPr>
          <w:rFonts w:ascii="Times New Roman" w:hAnsi="Times New Roman"/>
          <w:b w:val="false"/>
          <w:i w:val="false"/>
          <w:color w:val="000000"/>
          <w:sz w:val="22"/>
        </w:rPr>
        <w:t> </w:t>
      </w:r>
      <w:r>
        <w:rPr>
          <w:rFonts w:ascii="Times New Roman" w:hAnsi="Times New Roman"/>
          <w:b w:val="false"/>
          <w:i w:val="false"/>
          <w:color w:val="000000"/>
          <w:sz w:val="22"/>
        </w:rPr>
        <w:t xml:space="preserve">Grantees may use funds in a manner consistent with Iowa Code section </w:t>
      </w:r>
      <w:hyperlink r:id="rId14">
        <w:r>
          <w:rPr>
            <w:rStyle w:val="Hyperlink"/>
            <w:rFonts w:ascii="Times New Roman" w:hAnsi="Times New Roman"/>
            <w:b w:val="false"/>
            <w:i w:val="false"/>
            <w:color w:val="000000"/>
            <w:sz w:val="22"/>
          </w:rPr>
          <w:t>279.51(2)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64.33(6)</w:t>
      </w:r>
      <w:r>
        <w:rPr>
          <w:rFonts w:ascii="Times New Roman" w:hAnsi="Times New Roman"/>
          <w:b w:val="false"/>
          <w:i w:val="false"/>
          <w:color w:val="000000"/>
          <w:sz w:val="22"/>
        </w:rPr>
        <w:t> </w:t>
      </w:r>
      <w:r>
        <w:rPr>
          <w:rFonts w:ascii="Times New Roman" w:hAnsi="Times New Roman"/>
          <w:b w:val="false"/>
          <w:i w:val="false"/>
          <w:color w:val="000000"/>
          <w:sz w:val="22"/>
        </w:rPr>
        <w:t>Any contract under this division may be terminated in whole or in part by June 30 of the current fiscal year in the event that the grantee has not attained accreditation of the program standards identified in the awarded application or has not been awarded a waiver of accreditation by the council.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5">
        <w:r>
          <w:rPr>
            <w:rStyle w:val="Hyperlink"/>
            <w:rFonts w:ascii="Times New Roman" w:hAnsi="Times New Roman"/>
            <w:b w:val="false"/>
            <w:i w:val="false"/>
            <w:color w:val="000000"/>
            <w:sz w:val="22"/>
          </w:rPr>
          <w:t>256A</w:t>
        </w:r>
      </w:hyperlink>
      <w:r>
        <w:rPr>
          <w:rFonts w:ascii="Times New Roman" w:hAnsi="Times New Roman"/>
          <w:b w:val="false"/>
          <w:i w:val="false"/>
          <w:color w:val="000000"/>
          <w:sz w:val="22"/>
        </w:rPr>
        <w:t xml:space="preserve"> and section 279.51.</w:t>
      </w:r>
    </w:p>
    <w:p>
      <w:pPr>
        <w:spacing w:before="0" w:after="0"/>
        <w:ind w:left="120"/>
        <w:jc w:val="center"/>
      </w:pPr>
      <w:r>
        <w:rPr>
          <w:rFonts w:ascii="Times New Roman" w:hAnsi="Times New Roman"/>
          <w:b w:val="false"/>
          <w:i w:val="false"/>
          <w:color w:val="000000"/>
          <w:sz w:val="21"/>
        </w:rPr>
        <w:t>[Filed emergency 9/16/88—published 10/5/88, effective 9/16/88]</w:t>
      </w:r>
    </w:p>
    <w:p>
      <w:pPr>
        <w:spacing w:before="0" w:after="0"/>
        <w:ind w:left="120"/>
        <w:jc w:val="center"/>
      </w:pPr>
      <w:r>
        <w:rPr>
          <w:rFonts w:ascii="Times New Roman" w:hAnsi="Times New Roman"/>
          <w:b w:val="false"/>
          <w:i w:val="false"/>
          <w:color w:val="000000"/>
          <w:sz w:val="21"/>
        </w:rPr>
        <w:t>[Filed 12/8/88, Notice 10/5/88—published 12/28/88, effective 2/1/89]</w:t>
      </w:r>
    </w:p>
    <w:p>
      <w:pPr>
        <w:spacing w:before="0" w:after="0"/>
        <w:ind w:left="120"/>
        <w:jc w:val="center"/>
      </w:pPr>
      <w:r>
        <w:rPr>
          <w:rFonts w:ascii="Times New Roman" w:hAnsi="Times New Roman"/>
          <w:b w:val="false"/>
          <w:i w:val="false"/>
          <w:color w:val="000000"/>
          <w:sz w:val="21"/>
        </w:rPr>
        <w:t>[Filed emergency 2/10/89—published 3/8/89, effective 2/10/89]</w:t>
      </w:r>
    </w:p>
    <w:p>
      <w:pPr>
        <w:spacing w:before="0" w:after="0"/>
        <w:ind w:left="120"/>
        <w:jc w:val="center"/>
      </w:pPr>
      <w:r>
        <w:rPr>
          <w:rFonts w:ascii="Times New Roman" w:hAnsi="Times New Roman"/>
          <w:b w:val="false"/>
          <w:i w:val="false"/>
          <w:color w:val="000000"/>
          <w:sz w:val="21"/>
        </w:rPr>
        <w:t>[Filed emergency 1/5/90, after Notice 11/1/89—published 1/24/90, effective 1/5/90]</w:t>
      </w:r>
    </w:p>
    <w:p>
      <w:pPr>
        <w:spacing w:before="0" w:after="0"/>
        <w:ind w:left="120"/>
        <w:jc w:val="center"/>
      </w:pPr>
      <w:r>
        <w:rPr>
          <w:rFonts w:ascii="Times New Roman" w:hAnsi="Times New Roman"/>
          <w:b w:val="false"/>
          <w:i w:val="false"/>
          <w:color w:val="000000"/>
          <w:sz w:val="21"/>
        </w:rPr>
        <w:t>[Filed emergency 2/15/91—published 3/6/91, effective 2/15/91]</w:t>
      </w:r>
    </w:p>
    <w:p>
      <w:pPr>
        <w:spacing w:before="0" w:after="0"/>
        <w:ind w:left="120"/>
        <w:jc w:val="center"/>
      </w:pPr>
      <w:r>
        <w:rPr>
          <w:rFonts w:ascii="Times New Roman" w:hAnsi="Times New Roman"/>
          <w:b w:val="false"/>
          <w:i w:val="false"/>
          <w:color w:val="000000"/>
          <w:sz w:val="21"/>
        </w:rPr>
        <w:t>[Filed 4/12/91, Notice 3/6/91—published 5/1/91, effective 6/5/91]</w:t>
      </w:r>
    </w:p>
    <w:p>
      <w:pPr>
        <w:spacing w:before="0" w:after="0"/>
        <w:ind w:left="120"/>
        <w:jc w:val="center"/>
      </w:pPr>
      <w:r>
        <w:rPr>
          <w:rFonts w:ascii="Times New Roman" w:hAnsi="Times New Roman"/>
          <w:b w:val="false"/>
          <w:i w:val="false"/>
          <w:color w:val="000000"/>
          <w:sz w:val="21"/>
        </w:rPr>
        <w:t>[Filed 12/19/91, Notice 10/30/91—published 1/8/92, effective 2/12/92]</w:t>
      </w:r>
    </w:p>
    <w:p>
      <w:pPr>
        <w:spacing w:before="0" w:after="0"/>
        <w:ind w:left="120"/>
        <w:jc w:val="center"/>
      </w:pPr>
      <w:r>
        <w:rPr>
          <w:rFonts w:ascii="Times New Roman" w:hAnsi="Times New Roman"/>
          <w:b w:val="false"/>
          <w:i w:val="false"/>
          <w:color w:val="000000"/>
          <w:sz w:val="21"/>
        </w:rPr>
        <w:t>[Filed 4/15/94, Notice 3/2/94—published 5/11/94, effective 6/15/94]</w:t>
      </w:r>
    </w:p>
    <w:p>
      <w:pPr>
        <w:spacing w:before="0" w:after="0"/>
        <w:ind w:left="120"/>
        <w:jc w:val="center"/>
      </w:pPr>
      <w:r>
        <w:rPr>
          <w:rFonts w:ascii="Times New Roman" w:hAnsi="Times New Roman"/>
          <w:b w:val="false"/>
          <w:i w:val="false"/>
          <w:color w:val="000000"/>
          <w:sz w:val="21"/>
        </w:rPr>
        <w:t>[Filed 8/10/98, Notice 4/8/98—published 9/9/98, effective 10/14/98]</w:t>
      </w:r>
    </w:p>
    <w:p>
      <w:pPr>
        <w:spacing w:before="0" w:after="0"/>
        <w:ind w:left="120"/>
        <w:jc w:val="center"/>
      </w:pPr>
      <w:r>
        <w:rPr>
          <w:rFonts w:ascii="Times New Roman" w:hAnsi="Times New Roman"/>
          <w:b w:val="false"/>
          <w:i w:val="false"/>
          <w:color w:val="000000"/>
          <w:sz w:val="21"/>
        </w:rPr>
        <w:t>[Filed ARC 9904B</w:t>
      </w:r>
      <w:r>
        <w:rPr>
          <w:rFonts w:ascii="Times New Roman" w:hAnsi="Times New Roman"/>
          <w:b w:val="false"/>
          <w:i w:val="false"/>
          <w:color w:val="000000"/>
          <w:sz w:val="21"/>
        </w:rPr>
        <w:t xml:space="preserve"> (Notice ARC 9792B, IAB 10/5/11)</w:t>
      </w:r>
      <w:r>
        <w:rPr>
          <w:rFonts w:ascii="Times New Roman" w:hAnsi="Times New Roman"/>
          <w:b w:val="false"/>
          <w:i w:val="false"/>
          <w:color w:val="000000"/>
          <w:sz w:val="21"/>
        </w:rPr>
        <w:t>, IAB 12/14/11, effective 1/18/12]</w:t>
      </w:r>
    </w:p>
    <w:p>
      <w:pPr>
        <w:spacing w:before="0" w:after="0"/>
        <w:ind w:left="120"/>
        <w:jc w:val="center"/>
      </w:pPr>
      <w:r>
        <w:rPr>
          <w:rFonts w:ascii="Times New Roman" w:hAnsi="Times New Roman"/>
          <w:b w:val="false"/>
          <w:i w:val="false"/>
          <w:color w:val="000000"/>
          <w:sz w:val="21"/>
        </w:rPr>
        <w:t>[Filed ARC 1488C</w:t>
      </w:r>
      <w:r>
        <w:rPr>
          <w:rFonts w:ascii="Times New Roman" w:hAnsi="Times New Roman"/>
          <w:b w:val="false"/>
          <w:i w:val="false"/>
          <w:color w:val="000000"/>
          <w:sz w:val="21"/>
        </w:rPr>
        <w:t xml:space="preserve"> (Notice ARC 1394C, IAB 4/2/14)</w:t>
      </w:r>
      <w:r>
        <w:rPr>
          <w:rFonts w:ascii="Times New Roman" w:hAnsi="Times New Roman"/>
          <w:b w:val="false"/>
          <w:i w:val="false"/>
          <w:color w:val="000000"/>
          <w:sz w:val="21"/>
        </w:rPr>
        <w:t>, IAB 6/11/14, effective 7/16/14]</w:t>
      </w:r>
    </w:p>
    <w:p>
      <w:pPr>
        <w:spacing w:before="0" w:after="0"/>
        <w:ind w:left="120"/>
        <w:jc w:val="center"/>
      </w:pPr>
      <w:r>
        <w:rPr>
          <w:rFonts w:ascii="Times New Roman" w:hAnsi="Times New Roman"/>
          <w:b w:val="false"/>
          <w:i w:val="false"/>
          <w:color w:val="000000"/>
          <w:sz w:val="21"/>
        </w:rPr>
        <w:t>[Filed ARC 3767C</w:t>
      </w:r>
      <w:r>
        <w:rPr>
          <w:rFonts w:ascii="Times New Roman" w:hAnsi="Times New Roman"/>
          <w:b w:val="false"/>
          <w:i w:val="false"/>
          <w:color w:val="000000"/>
          <w:sz w:val="21"/>
        </w:rPr>
        <w:t xml:space="preserve"> (Notice ARC 3612C, IAB 2/14/18)</w:t>
      </w:r>
      <w:r>
        <w:rPr>
          <w:rFonts w:ascii="Times New Roman" w:hAnsi="Times New Roman"/>
          <w:b w:val="false"/>
          <w:i w:val="false"/>
          <w:color w:val="000000"/>
          <w:sz w:val="21"/>
        </w:rPr>
        <w:t>, IAB 4/25/18, effective 5/30/18]</w:t>
      </w:r>
    </w:p>
    <w:p>
      <w:pPr>
        <w:spacing w:before="0" w:after="0"/>
        <w:ind w:left="120"/>
        <w:jc w:val="center"/>
      </w:pPr>
      <w:r>
        <w:rPr>
          <w:rFonts w:ascii="Times New Roman" w:hAnsi="Times New Roman"/>
          <w:b w:val="false"/>
          <w:i w:val="false"/>
          <w:color w:val="000000"/>
          <w:sz w:val="21"/>
        </w:rPr>
        <w:t>[Filed ARC 6980C</w:t>
      </w:r>
      <w:r>
        <w:rPr>
          <w:rFonts w:ascii="Times New Roman" w:hAnsi="Times New Roman"/>
          <w:b w:val="false"/>
          <w:i w:val="false"/>
          <w:color w:val="000000"/>
          <w:sz w:val="21"/>
        </w:rPr>
        <w:t xml:space="preserve"> (Notice ARC 6876C, IAB 2/8/23)</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7798C</w:t>
      </w:r>
      <w:r>
        <w:rPr>
          <w:rFonts w:ascii="Times New Roman" w:hAnsi="Times New Roman"/>
          <w:b w:val="false"/>
          <w:i w:val="false"/>
          <w:color w:val="000000"/>
          <w:sz w:val="21"/>
        </w:rPr>
        <w:t xml:space="preserve"> (Notice ARC 7604C, IAB 2/7/24)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9/2/26]</w:t>
      </w:r>
    </w:p>
    <w:sectPr>
      <w:footerReference r:id="rId1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A.2.pdf" Type="http://schemas.openxmlformats.org/officeDocument/2006/relationships/hyperlink" Id="rId5"/>
    <Relationship TargetMode="External" Target="https://www.legis.iowa.gov/docs/ico/chapter/256A.3.pdf" Type="http://schemas.openxmlformats.org/officeDocument/2006/relationships/hyperlink" Id="rId6"/>
    <Relationship TargetMode="External" Target="https://www.legis.iowa.gov/docs/ico/chapter/279.51.pdf" Type="http://schemas.openxmlformats.org/officeDocument/2006/relationships/hyperlink" Id="rId7"/>
    <Relationship TargetMode="External" Target="https://www.legis.iowa.gov/docs/iac/rule/281.64.13.pdf" Type="http://schemas.openxmlformats.org/officeDocument/2006/relationships/hyperlink" Id="rId8"/>
    <Relationship TargetMode="External" Target="https://www.legis.iowa.gov/docs/iac/chapter/7.2506.pdf" Type="http://schemas.openxmlformats.org/officeDocument/2006/relationships/hyperlink" Id="rId9"/>
    <Relationship TargetMode="External" Target="https://www.legis.iowa.gov/docs/iac/rule/281.64.17.pdf" Type="http://schemas.openxmlformats.org/officeDocument/2006/relationships/hyperlink" Id="rId10"/>
    <Relationship TargetMode="External" Target="https://www.legis.iowa.gov/docs/iac/rule/281.64.29.pdf" Type="http://schemas.openxmlformats.org/officeDocument/2006/relationships/hyperlink" Id="rId11"/>
    <Relationship TargetMode="External" Target="https://www.legis.iowa.gov/docs/iac/rule/281.64.30.pdf" Type="http://schemas.openxmlformats.org/officeDocument/2006/relationships/hyperlink" Id="rId12"/>
    <Relationship TargetMode="External" Target="https://www.legis.iowa.gov/docs/ico/chapter/279.51.pdf" Type="http://schemas.openxmlformats.org/officeDocument/2006/relationships/hyperlink" Id="rId13"/>
    <Relationship TargetMode="External" Target="https://www.legis.iowa.gov/docs/ico/chapter/279.51.pdf" Type="http://schemas.openxmlformats.org/officeDocument/2006/relationships/hyperlink" Id="rId14"/>
    <Relationship TargetMode="External" Target="https://www.legis.iowa.gov/docs/ico/chapter/256A.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