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STATE STANDARDS FOR PROGRESSION IN READING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281—62.1</w:t>
      </w:r>
      <w:r>
        <w:rPr>
          <w:rFonts w:ascii="Times New Roman" w:hAnsi="Times New Roman"/>
          <w:b/>
          <w:i w:val="false"/>
          <w:color w:val="000000"/>
          <w:sz w:val="22"/>
        </w:rPr>
        <w:t xml:space="preserve">(256,279) </w:t>
      </w:r>
      <w:r>
        <w:rPr>
          <w:rFonts w:ascii="Times New Roman" w:hAnsi="Times New Roman"/>
          <w:b/>
          <w:i w:val="false"/>
          <w:color w:val="000000"/>
          <w:sz w:val="22"/>
        </w:rPr>
        <w:t xml:space="preserve">Assessment of reading proficiency. </w:t>
      </w:r>
      <w:r>
        <w:rPr>
          <w:rFonts w:ascii="Times New Roman" w:hAnsi="Times New Roman"/>
          <w:b w:val="false"/>
          <w:i w:val="false"/>
          <w:color w:val="000000"/>
          <w:sz w:val="22"/>
        </w:rPr>
        <w:t>All school districts shall assess reading proficiency of all students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color w:val="000000"/>
          <w:sz w:val="22"/>
        </w:rPr>
        <w:t xml:space="preserve">Assessment at beginning of school year. </w:t>
      </w:r>
      <w:r>
        <w:rPr>
          <w:rFonts w:ascii="Times New Roman" w:hAnsi="Times New Roman"/>
          <w:b w:val="false"/>
          <w:i w:val="false"/>
          <w:color w:val="000000"/>
          <w:sz w:val="22"/>
        </w:rPr>
        <w:t>A school district will assess all students enrolled in kindergarten through grade three at the beginning of each school year for the students’ level of reading or reading readiness.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color w:val="000000"/>
          <w:sz w:val="22"/>
        </w:rPr>
        <w:t xml:space="preserve">Subsequent assessments throughout school year. </w:t>
      </w:r>
      <w:r>
        <w:rPr>
          <w:rFonts w:ascii="Times New Roman" w:hAnsi="Times New Roman"/>
          <w:b w:val="false"/>
          <w:i w:val="false"/>
          <w:color w:val="000000"/>
          <w:sz w:val="22"/>
        </w:rPr>
        <w:t xml:space="preserve">A school district will provide to all students additional, brief assessments of reading achievement in a manner specified by the department, using assessments that meet the standards described in subrule </w:t>
      </w:r>
      <w:hyperlink r:id="rId5">
        <w:r>
          <w:rPr>
            <w:rStyle w:val="Hyperlink"/>
            <w:rFonts w:ascii="Times New Roman" w:hAnsi="Times New Roman"/>
            <w:b w:val="false"/>
            <w:i w:val="false"/>
            <w:color w:val="000000"/>
            <w:sz w:val="22"/>
          </w:rPr>
          <w:t>62.1(5)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color w:val="000000"/>
          <w:sz w:val="22"/>
        </w:rPr>
        <w:t xml:space="preserve">Progress-monitoring instruments. </w:t>
      </w:r>
      <w:r>
        <w:rPr>
          <w:rFonts w:ascii="Times New Roman" w:hAnsi="Times New Roman"/>
          <w:b w:val="false"/>
          <w:i w:val="false"/>
          <w:color w:val="000000"/>
          <w:sz w:val="22"/>
        </w:rPr>
        <w:t xml:space="preserve">For students identified as being persistently at risk in reading, as well as students who are becoming persistently at risk in reading, a school district will monitor the students’ progress in reading with instruments that meet the standards in </w:t>
      </w:r>
      <w:hyperlink r:id="rId6">
        <w:r>
          <w:rPr>
            <w:rStyle w:val="Hyperlink"/>
            <w:rFonts w:ascii="Times New Roman" w:hAnsi="Times New Roman"/>
            <w:b w:val="false"/>
            <w:i w:val="false"/>
            <w:color w:val="000000"/>
            <w:sz w:val="22"/>
          </w:rPr>
          <w:t>subrule 62.1(5)</w:t>
        </w:r>
      </w:hyperlink>
      <w:r>
        <w:rPr>
          <w:rFonts w:ascii="Times New Roman" w:hAnsi="Times New Roman"/>
          <w:b w:val="false"/>
          <w:i w:val="false"/>
          <w:color w:val="000000"/>
          <w:sz w:val="22"/>
        </w:rPr>
        <w:t>, in at least a frequency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w:t>
      </w:r>
      <w:r>
        <w:rPr>
          <w:rFonts w:ascii="Times New Roman" w:hAnsi="Times New Roman"/>
          <w:b w:val="false"/>
          <w:i w:val="false"/>
          <w:color w:val="000000"/>
          <w:sz w:val="22"/>
        </w:rPr>
        <w:t> </w:t>
      </w:r>
      <w:r>
        <w:rPr>
          <w:rFonts w:ascii="Times New Roman" w:hAnsi="Times New Roman"/>
          <w:b w:val="false"/>
          <w:i/>
          <w:color w:val="000000"/>
          <w:sz w:val="22"/>
        </w:rPr>
        <w:t xml:space="preserve">Statewide or locally determined assessments. </w:t>
      </w:r>
      <w:r>
        <w:rPr>
          <w:rFonts w:ascii="Times New Roman" w:hAnsi="Times New Roman"/>
          <w:b w:val="false"/>
          <w:i w:val="false"/>
          <w:color w:val="000000"/>
          <w:sz w:val="22"/>
        </w:rPr>
        <w:t xml:space="preserve">Assessments may be locally determined or statewide, including an annual standard-based assessment, provided that all assessments for purposes of implementing this chapter meet the standards described in subrule </w:t>
      </w:r>
      <w:hyperlink r:id="rId7">
        <w:r>
          <w:rPr>
            <w:rStyle w:val="Hyperlink"/>
            <w:rFonts w:ascii="Times New Roman" w:hAnsi="Times New Roman"/>
            <w:b w:val="false"/>
            <w:i w:val="false"/>
            <w:color w:val="000000"/>
            <w:sz w:val="22"/>
          </w:rPr>
          <w:t>62.1(5)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w:t>
      </w:r>
      <w:r>
        <w:rPr>
          <w:rFonts w:ascii="Times New Roman" w:hAnsi="Times New Roman"/>
          <w:b w:val="false"/>
          <w:i w:val="false"/>
          <w:color w:val="000000"/>
          <w:sz w:val="22"/>
        </w:rPr>
        <w:t> </w:t>
      </w:r>
      <w:r>
        <w:rPr>
          <w:rFonts w:ascii="Times New Roman" w:hAnsi="Times New Roman"/>
          <w:b w:val="false"/>
          <w:i/>
          <w:color w:val="000000"/>
          <w:sz w:val="22"/>
        </w:rPr>
        <w:t xml:space="preserve">Standards for approval for assessments. </w:t>
      </w:r>
      <w:r>
        <w:rPr>
          <w:rFonts w:ascii="Times New Roman" w:hAnsi="Times New Roman"/>
          <w:b w:val="false"/>
          <w:i w:val="false"/>
          <w:color w:val="000000"/>
          <w:sz w:val="22"/>
        </w:rPr>
        <w:t>Any assessment of reading or reading readiness under this rule and used to implement this chapter is to meet the following minimum standards before use by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Standards for all assessments. </w:t>
      </w:r>
      <w:r>
        <w:rPr>
          <w:rFonts w:ascii="Times New Roman" w:hAnsi="Times New Roman"/>
          <w:b w:val="false"/>
          <w:i w:val="false"/>
          <w:color w:val="000000"/>
          <w:sz w:val="22"/>
        </w:rPr>
        <w:t xml:space="preserve">Any assessment used under this chapter, including instruments described in paragraphs </w:t>
      </w:r>
      <w:hyperlink r:id="rId8">
        <w:r>
          <w:rPr>
            <w:rStyle w:val="Hyperlink"/>
            <w:rFonts w:ascii="Times New Roman" w:hAnsi="Times New Roman"/>
            <w:b w:val="false"/>
            <w:i w:val="false"/>
            <w:color w:val="000000"/>
            <w:sz w:val="22"/>
          </w:rPr>
          <w:t>62.1(5)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is to meet department-adopted minimum standards for reliability and validity, at the appropriate grade level and for the skills assessed. In addition, all assessments are to have information available concerning administration time per student, access to student data after completion, and amount of teacher training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Standards for universal-screening instruments. </w:t>
      </w:r>
      <w:r>
        <w:rPr>
          <w:rFonts w:ascii="Times New Roman" w:hAnsi="Times New Roman"/>
          <w:b w:val="false"/>
          <w:i w:val="false"/>
          <w:color w:val="000000"/>
          <w:sz w:val="22"/>
        </w:rPr>
        <w:t>Any assessment used for universal-screening purposes under this chapter is to meet department-adopted minimum standards for the following statistical measures: area under the curve and specificity/sensitivity.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Standards for progress-monitoring instruments. </w:t>
      </w:r>
      <w:r>
        <w:rPr>
          <w:rFonts w:ascii="Times New Roman" w:hAnsi="Times New Roman"/>
          <w:b w:val="false"/>
          <w:i w:val="false"/>
          <w:color w:val="000000"/>
          <w:sz w:val="22"/>
        </w:rPr>
        <w:t>Any assessment used for progress-monitoring purposes under this chapter is to meet department-adopted standards for number of forms of demonstrated equivalence and for reliability of slope.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publication of approved assessments. </w:t>
      </w:r>
      <w:r>
        <w:rPr>
          <w:rFonts w:ascii="Times New Roman" w:hAnsi="Times New Roman"/>
          <w:b w:val="false"/>
          <w:i w:val="false"/>
          <w:color w:val="000000"/>
          <w:sz w:val="22"/>
        </w:rPr>
        <w:t>The department will annually publish or update a list of assessments approved pursuant to this subrule. Approved assessments will have a demonstrated ability to predict future reading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w:t>
      </w:r>
      <w:r>
        <w:rPr>
          <w:rFonts w:ascii="Times New Roman" w:hAnsi="Times New Roman"/>
          <w:b w:val="false"/>
          <w:i w:val="false"/>
          <w:color w:val="000000"/>
          <w:sz w:val="22"/>
        </w:rPr>
        <w:t> </w:t>
      </w:r>
      <w:r>
        <w:rPr>
          <w:rFonts w:ascii="Times New Roman" w:hAnsi="Times New Roman"/>
          <w:b w:val="false"/>
          <w:i/>
          <w:color w:val="000000"/>
          <w:sz w:val="22"/>
        </w:rPr>
        <w:t xml:space="preserve">Basic levels of reading proficiency on approved assessments. </w:t>
      </w:r>
      <w:r>
        <w:rPr>
          <w:rFonts w:ascii="Times New Roman" w:hAnsi="Times New Roman"/>
          <w:b w:val="false"/>
          <w:i w:val="false"/>
          <w:color w:val="000000"/>
          <w:sz w:val="22"/>
        </w:rPr>
        <w:t>The department will determine benchmarks for basic levels of reading proficiency to be used with approved assessments based on the ability to predict meaningful future outcomes of a student’s reading performance that is sufficient to master appropriate grade four reading skills prior to the student’s promotion to grade four.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w:t>
      </w:r>
      <w:r>
        <w:rPr>
          <w:rFonts w:ascii="Times New Roman" w:hAnsi="Times New Roman"/>
          <w:b w:val="false"/>
          <w:i w:val="false"/>
          <w:color w:val="000000"/>
          <w:sz w:val="22"/>
        </w:rPr>
        <w:t> </w:t>
      </w:r>
      <w:r>
        <w:rPr>
          <w:rFonts w:ascii="Times New Roman" w:hAnsi="Times New Roman"/>
          <w:b w:val="false"/>
          <w:i/>
          <w:color w:val="000000"/>
          <w:sz w:val="22"/>
        </w:rPr>
        <w:t xml:space="preserve">Assessment measures. </w:t>
      </w:r>
      <w:r>
        <w:rPr>
          <w:rFonts w:ascii="Times New Roman" w:hAnsi="Times New Roman"/>
          <w:b w:val="false"/>
          <w:i w:val="false"/>
          <w:color w:val="000000"/>
          <w:sz w:val="22"/>
        </w:rPr>
        <w:t>Assessments administered to implement this chapter, when taken as a whole, are to measure phonemic awareness, phonics, fluency, vocabulary, and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w:t>
      </w:r>
      <w:r>
        <w:rPr>
          <w:rFonts w:ascii="Times New Roman" w:hAnsi="Times New Roman"/>
          <w:b w:val="false"/>
          <w:i w:val="false"/>
          <w:color w:val="000000"/>
          <w:sz w:val="22"/>
        </w:rPr>
        <w:t> </w:t>
      </w:r>
      <w:r>
        <w:rPr>
          <w:rFonts w:ascii="Times New Roman" w:hAnsi="Times New Roman"/>
          <w:b w:val="false"/>
          <w:i/>
          <w:color w:val="000000"/>
          <w:sz w:val="22"/>
        </w:rPr>
        <w:t xml:space="preserve">Noncompliant assessments. </w:t>
      </w:r>
      <w:r>
        <w:rPr>
          <w:rFonts w:ascii="Times New Roman" w:hAnsi="Times New Roman"/>
          <w:b w:val="false"/>
          <w:i w:val="false"/>
          <w:color w:val="000000"/>
          <w:sz w:val="22"/>
        </w:rPr>
        <w:t>Assessments that do not meet the provisions of this rule may not be used by any school district to implement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281—62.2</w:t>
      </w:r>
      <w:r>
        <w:rPr>
          <w:rFonts w:ascii="Times New Roman" w:hAnsi="Times New Roman"/>
          <w:b/>
          <w:i w:val="false"/>
          <w:color w:val="000000"/>
          <w:sz w:val="22"/>
        </w:rPr>
        <w:t xml:space="preserve">(256,279) </w:t>
      </w:r>
      <w:r>
        <w:rPr>
          <w:rFonts w:ascii="Times New Roman" w:hAnsi="Times New Roman"/>
          <w:b/>
          <w:i w:val="false"/>
          <w:color w:val="000000"/>
          <w:sz w:val="22"/>
        </w:rPr>
        <w:t xml:space="preserve">Tools for evaluating and reevaluating reading proficiency. </w:t>
      </w:r>
      <w:r>
        <w:rPr>
          <w:rFonts w:ascii="Times New Roman" w:hAnsi="Times New Roman"/>
          <w:b w:val="false"/>
          <w:i w:val="false"/>
          <w:color w:val="000000"/>
          <w:sz w:val="22"/>
        </w:rPr>
        <w:t>The department identifies the following attributes of tools that may be used in evaluating and reevaluating reading proficiency: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color w:val="000000"/>
          <w:sz w:val="22"/>
        </w:rPr>
        <w:t xml:space="preserve">Locally determined or statewide assessments. </w:t>
      </w:r>
      <w:r>
        <w:rPr>
          <w:rFonts w:ascii="Times New Roman" w:hAnsi="Times New Roman"/>
          <w:b w:val="false"/>
          <w:i w:val="false"/>
          <w:color w:val="000000"/>
          <w:sz w:val="22"/>
        </w:rPr>
        <w:t xml:space="preserve">In evaluating and reevaluating students who are or may be at risk or persistently at risk in reading, school districts are to use assessments that meet the standards referenced in subrule </w:t>
      </w:r>
      <w:hyperlink r:id="rId9">
        <w:r>
          <w:rPr>
            <w:rStyle w:val="Hyperlink"/>
            <w:rFonts w:ascii="Times New Roman" w:hAnsi="Times New Roman"/>
            <w:b w:val="false"/>
            <w:i w:val="false"/>
            <w:color w:val="000000"/>
            <w:sz w:val="22"/>
          </w:rPr>
          <w:t>62.1(5)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color w:val="000000"/>
          <w:sz w:val="22"/>
        </w:rPr>
        <w:t xml:space="preserve">Alternative assessments. </w:t>
      </w:r>
      <w:r>
        <w:rPr>
          <w:rFonts w:ascii="Times New Roman" w:hAnsi="Times New Roman"/>
          <w:b w:val="false"/>
          <w:i w:val="false"/>
          <w:color w:val="000000"/>
          <w:sz w:val="22"/>
        </w:rPr>
        <w:t xml:space="preserve">If a school district determines, based on the clear and unique facts of a particular student’s case, that a particular student needs an alternative assessment to determine proficiency in reading, in addition to the assessments referred to in rule </w:t>
      </w:r>
      <w:hyperlink r:id="rId10">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 xml:space="preserve">(256,279) and subrule </w:t>
      </w:r>
      <w:hyperlink r:id="rId11">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the alternative assessment is to be founded on scientifically based research and reasonably calculated to provide equivalent information about the student’s reading, in addition to information provided by the assessments referred to in rule </w:t>
      </w:r>
      <w:hyperlink r:id="rId12">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 xml:space="preserve">(256,279) and subrule </w:t>
      </w:r>
      <w:hyperlink r:id="rId13">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color w:val="000000"/>
          <w:sz w:val="22"/>
        </w:rPr>
        <w:t xml:space="preserve">Portfolio reviews. </w:t>
      </w:r>
      <w:r>
        <w:rPr>
          <w:rFonts w:ascii="Times New Roman" w:hAnsi="Times New Roman"/>
          <w:b w:val="false"/>
          <w:i w:val="false"/>
          <w:color w:val="000000"/>
          <w:sz w:val="22"/>
        </w:rPr>
        <w:t xml:space="preserve">School districts may review a portfolio of a student’s work to determine reading proficiency. Portfolio reviews are to be conducted using standard review criteria that are founded on scientifically based research. A portfolio review may be used along with assessments in rule </w:t>
      </w:r>
      <w:hyperlink r:id="rId14">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 xml:space="preserve">(256,279) and subrule </w:t>
      </w:r>
      <w:hyperlink r:id="rId15">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but is not to be used in lieu of such assessments. The department is to maintain a list of portfolio review criteria that are adequate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62.2(4)</w:t>
      </w:r>
      <w:r>
        <w:rPr>
          <w:rFonts w:ascii="Times New Roman" w:hAnsi="Times New Roman"/>
          <w:b w:val="false"/>
          <w:i w:val="false"/>
          <w:color w:val="000000"/>
          <w:sz w:val="22"/>
        </w:rPr>
        <w:t> </w:t>
      </w:r>
      <w:r>
        <w:rPr>
          <w:rFonts w:ascii="Times New Roman" w:hAnsi="Times New Roman"/>
          <w:b w:val="false"/>
          <w:i/>
          <w:color w:val="000000"/>
          <w:sz w:val="22"/>
        </w:rPr>
        <w:t xml:space="preserve">Teacher observation. </w:t>
      </w:r>
      <w:r>
        <w:rPr>
          <w:rFonts w:ascii="Times New Roman" w:hAnsi="Times New Roman"/>
          <w:b w:val="false"/>
          <w:i w:val="false"/>
          <w:color w:val="000000"/>
          <w:sz w:val="22"/>
        </w:rPr>
        <w:t>A student may initially be identified as being persistently at risk in reading proficiency based on teacher observation. A teacher observation under this subrule is to be based on department-approved observation criteria. Teacher observation shall not be used to determine that a student continues to be persistently at risk in reading.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w:t>
      </w:r>
      <w:r>
        <w:rPr>
          <w:rFonts w:ascii="Times New Roman" w:hAnsi="Times New Roman"/>
          <w:b w:val="false"/>
          <w:i w:val="false"/>
          <w:color w:val="000000"/>
          <w:sz w:val="22"/>
        </w:rPr>
        <w:t> </w:t>
      </w:r>
      <w:r>
        <w:rPr>
          <w:rFonts w:ascii="Times New Roman" w:hAnsi="Times New Roman"/>
          <w:b w:val="false"/>
          <w:i/>
          <w:color w:val="000000"/>
          <w:sz w:val="22"/>
        </w:rPr>
        <w:t xml:space="preserve">Other tools. </w:t>
      </w:r>
      <w:r>
        <w:rPr>
          <w:rFonts w:ascii="Times New Roman" w:hAnsi="Times New Roman"/>
          <w:b w:val="false"/>
          <w:i w:val="false"/>
          <w:color w:val="000000"/>
          <w:sz w:val="22"/>
        </w:rPr>
        <w:t>The department may identify additional tools for use in evaluating and reevaluating reading proficiency, so long as those tools are founded on scientifically based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w:t>
      </w:r>
      <w:r>
        <w:rPr>
          <w:rFonts w:ascii="Times New Roman" w:hAnsi="Times New Roman"/>
          <w:b w:val="false"/>
          <w:i w:val="false"/>
          <w:color w:val="000000"/>
          <w:sz w:val="22"/>
        </w:rPr>
        <w:t> </w:t>
      </w:r>
      <w:r>
        <w:rPr>
          <w:rFonts w:ascii="Times New Roman" w:hAnsi="Times New Roman"/>
          <w:b w:val="false"/>
          <w:i/>
          <w:color w:val="000000"/>
          <w:sz w:val="22"/>
        </w:rPr>
        <w:t xml:space="preserve">Alternate assessment. </w:t>
      </w:r>
      <w:r>
        <w:rPr>
          <w:rFonts w:ascii="Times New Roman" w:hAnsi="Times New Roman"/>
          <w:b w:val="false"/>
          <w:i w:val="false"/>
          <w:color w:val="000000"/>
          <w:sz w:val="22"/>
        </w:rPr>
        <w:t xml:space="preserve">If an individual with a disability has been determined to need an alternate assessment aligned to alternate academic achievement standards in reading, pursuant to rule </w:t>
      </w:r>
      <w:hyperlink r:id="rId16">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(256B,34CFR300), that individual is to receive such alternate assessment, as well as alternate universal screening and progress monitoring pursuant to this chapter on instruments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w:t>
      </w:r>
      <w:r>
        <w:rPr>
          <w:rFonts w:ascii="Times New Roman" w:hAnsi="Times New Roman"/>
          <w:b w:val="false"/>
          <w:i w:val="false"/>
          <w:color w:val="000000"/>
          <w:sz w:val="22"/>
        </w:rPr>
        <w:t> </w:t>
      </w:r>
      <w:r>
        <w:rPr>
          <w:rFonts w:ascii="Times New Roman" w:hAnsi="Times New Roman"/>
          <w:b w:val="false"/>
          <w:i/>
          <w:color w:val="000000"/>
          <w:sz w:val="22"/>
        </w:rPr>
        <w:t xml:space="preserve">Noncompliant tools. </w:t>
      </w:r>
      <w:r>
        <w:rPr>
          <w:rFonts w:ascii="Times New Roman" w:hAnsi="Times New Roman"/>
          <w:b w:val="false"/>
          <w:i w:val="false"/>
          <w:color w:val="000000"/>
          <w:sz w:val="22"/>
        </w:rPr>
        <w:t>Tools that do not meet the provisions of this rule shall not be used by any school district to implement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281—62.3</w:t>
      </w:r>
      <w:r>
        <w:rPr>
          <w:rFonts w:ascii="Times New Roman" w:hAnsi="Times New Roman"/>
          <w:b/>
          <w:i w:val="false"/>
          <w:color w:val="000000"/>
          <w:sz w:val="22"/>
        </w:rPr>
        <w:t xml:space="preserve">(256,279) </w:t>
      </w:r>
      <w:r>
        <w:rPr>
          <w:rFonts w:ascii="Times New Roman" w:hAnsi="Times New Roman"/>
          <w:b/>
          <w:i w:val="false"/>
          <w:color w:val="000000"/>
          <w:sz w:val="22"/>
        </w:rPr>
        <w:t xml:space="preserve">Identification of a student as being persistently at risk in reading.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color w:val="000000"/>
          <w:sz w:val="22"/>
        </w:rPr>
        <w:t xml:space="preserve">Definition of “persistently at risk in reading.” </w:t>
      </w:r>
      <w:r>
        <w:rPr>
          <w:rFonts w:ascii="Times New Roman" w:hAnsi="Times New Roman"/>
          <w:b w:val="false"/>
          <w:i w:val="false"/>
          <w:color w:val="000000"/>
          <w:sz w:val="22"/>
        </w:rPr>
        <w:t xml:space="preserve">A student is determined “persistently at risk” under the standard in Iowa Code section </w:t>
      </w:r>
      <w:hyperlink r:id="rId17">
        <w:r>
          <w:rPr>
            <w:rStyle w:val="Hyperlink"/>
            <w:rFonts w:ascii="Times New Roman" w:hAnsi="Times New Roman"/>
            <w:b w:val="false"/>
            <w:i w:val="false"/>
            <w:color w:val="000000"/>
            <w:sz w:val="22"/>
          </w:rPr>
          <w:t>279.68(1)</w:t>
        </w:r>
      </w:hyperlink>
      <w:r>
        <w:rPr>
          <w:rFonts w:ascii="Times New Roman" w:hAnsi="Times New Roman"/>
          <w:b w:val="false"/>
          <w:i/>
          <w:color w:val="000000"/>
          <w:sz w:val="22"/>
        </w:rPr>
        <w:t>“a.”</w:t>
      </w:r>
      <w:r>
        <w:rPr>
          <w:rFonts w:ascii="Times New Roman" w:hAnsi="Times New Roman"/>
          <w:b w:val="false"/>
          <w:i w:val="false"/>
          <w:color w:val="000000"/>
          <w:sz w:val="22"/>
        </w:rPr>
        <w:t xml:space="preserve"> A student is “at risk in reading” if the student did not meet the grade-level benchmark for one of the two most recent screening assessments administered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 persistent risk in reading.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initially determining whether a student is persistently at risk in reading as defined in subrule </w:t>
      </w:r>
      <w:hyperlink r:id="rId18">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 xml:space="preserve">, the school district will consider assessments referred to in rule </w:t>
      </w:r>
      <w:hyperlink r:id="rId19">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 xml:space="preserve">(256,279) and subrule </w:t>
      </w:r>
      <w:hyperlink r:id="rId20">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or teacher observations that meet the criteria referenced in subrule </w:t>
      </w:r>
      <w:hyperlink r:id="rId21">
        <w:r>
          <w:rPr>
            <w:rStyle w:val="Hyperlink"/>
            <w:rFonts w:ascii="Times New Roman" w:hAnsi="Times New Roman"/>
            <w:b w:val="false"/>
            <w:i w:val="false"/>
            <w:color w:val="000000"/>
            <w:sz w:val="22"/>
          </w:rPr>
          <w:t>62.2(4)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a student continues to be persistently at risk in reading, a school district will consider assessments referred to in rule </w:t>
      </w:r>
      <w:hyperlink r:id="rId22">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 xml:space="preserve">(256,279) and subrule </w:t>
      </w:r>
      <w:hyperlink r:id="rId23">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with specific attention given to progress-monitoring results under subrule </w:t>
      </w:r>
      <w:hyperlink r:id="rId24">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color w:val="000000"/>
          <w:sz w:val="22"/>
        </w:rPr>
        <w:t xml:space="preserve">Services offered to all students who are persistently at risk in reading. </w:t>
      </w:r>
      <w:r>
        <w:rPr>
          <w:rFonts w:ascii="Times New Roman" w:hAnsi="Times New Roman"/>
          <w:b w:val="false"/>
          <w:i w:val="false"/>
          <w:color w:val="000000"/>
          <w:sz w:val="22"/>
        </w:rPr>
        <w:t xml:space="preserve">A school district will provide intensive reading instruction to any student who is persistently at risk in reading. A school district will continue to provide the student with intensive reading instruction until the student is reading at grade level, at grade levels beyond grade three if necessary, as determined by the student’s consistently proficient performance on valid and reliable measures of reading ability that meet the provisions of rule </w:t>
      </w:r>
      <w:hyperlink r:id="rId25">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 xml:space="preserve">(256,279). All services provided under this subrule will comply with rule </w:t>
      </w:r>
      <w:hyperlink r:id="rId26">
        <w:r>
          <w:rPr>
            <w:rStyle w:val="Hyperlink"/>
            <w:rFonts w:ascii="Times New Roman" w:hAnsi="Times New Roman"/>
            <w:b w:val="false"/>
            <w:i w:val="false"/>
            <w:color w:val="000000"/>
            <w:sz w:val="22"/>
          </w:rPr>
          <w:t>281—62.4</w:t>
        </w:r>
      </w:hyperlink>
      <w:r>
        <w:rPr>
          <w:rFonts w:ascii="Times New Roman" w:hAnsi="Times New Roman"/>
          <w:b w:val="false"/>
          <w:i w:val="false"/>
          <w:color w:val="000000"/>
          <w:sz w:val="22"/>
        </w:rPr>
        <w:t>(256,279).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 xml:space="preserve">The district will comply with Iowa Code section </w:t>
      </w:r>
      <w:hyperlink r:id="rId27">
        <w:r>
          <w:rPr>
            <w:rStyle w:val="Hyperlink"/>
            <w:rFonts w:ascii="Times New Roman" w:hAnsi="Times New Roman"/>
            <w:b w:val="false"/>
            <w:i w:val="false"/>
            <w:color w:val="000000"/>
            <w:sz w:val="22"/>
          </w:rPr>
          <w:t>279.68(2)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281—62.4</w:t>
      </w:r>
      <w:r>
        <w:rPr>
          <w:rFonts w:ascii="Times New Roman" w:hAnsi="Times New Roman"/>
          <w:b/>
          <w:i w:val="false"/>
          <w:color w:val="000000"/>
          <w:sz w:val="22"/>
        </w:rPr>
        <w:t xml:space="preserve">(256,279) </w:t>
      </w:r>
      <w:r>
        <w:rPr>
          <w:rFonts w:ascii="Times New Roman" w:hAnsi="Times New Roman"/>
          <w:b/>
          <w:i w:val="false"/>
          <w:color w:val="000000"/>
          <w:sz w:val="22"/>
        </w:rPr>
        <w:t xml:space="preserve">Successful progression for early readers. </w:t>
      </w:r>
      <w:r>
        <w:rPr>
          <w:rFonts w:ascii="Times New Roman" w:hAnsi="Times New Roman"/>
          <w:b w:val="false"/>
          <w:i w:val="false"/>
          <w:color w:val="000000"/>
          <w:sz w:val="22"/>
        </w:rPr>
        <w:t>Each school district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color w:val="000000"/>
          <w:sz w:val="22"/>
        </w:rPr>
        <w:t xml:space="preserve">Intensive instructional services. </w:t>
      </w:r>
      <w:r>
        <w:rPr>
          <w:rFonts w:ascii="Times New Roman" w:hAnsi="Times New Roman"/>
          <w:b w:val="false"/>
          <w:i w:val="false"/>
          <w:color w:val="000000"/>
          <w:sz w:val="22"/>
        </w:rPr>
        <w:t xml:space="preserve">A school district will provide students who are persistently at risk in reading with the services specified in Iowa Code section </w:t>
      </w:r>
      <w:hyperlink r:id="rId28">
        <w:r>
          <w:rPr>
            <w:rStyle w:val="Hyperlink"/>
            <w:rFonts w:ascii="Times New Roman" w:hAnsi="Times New Roman"/>
            <w:b w:val="false"/>
            <w:i w:val="false"/>
            <w:color w:val="000000"/>
            <w:sz w:val="22"/>
          </w:rPr>
          <w:t>279.68(2)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color w:val="000000"/>
          <w:sz w:val="22"/>
        </w:rPr>
        <w:t xml:space="preserve">Reading enhancement and acceleration development initiative. </w:t>
      </w:r>
      <w:r>
        <w:rPr>
          <w:rFonts w:ascii="Times New Roman" w:hAnsi="Times New Roman"/>
          <w:b w:val="false"/>
          <w:i w:val="false"/>
          <w:color w:val="000000"/>
          <w:sz w:val="22"/>
        </w:rPr>
        <w:t xml:space="preserve">The intensive instructional services described in subrule </w:t>
      </w:r>
      <w:hyperlink r:id="rId29">
        <w:r>
          <w:rPr>
            <w:rStyle w:val="Hyperlink"/>
            <w:rFonts w:ascii="Times New Roman" w:hAnsi="Times New Roman"/>
            <w:b w:val="false"/>
            <w:i w:val="false"/>
            <w:color w:val="000000"/>
            <w:sz w:val="22"/>
          </w:rPr>
          <w:t>62.4(1)</w:t>
        </w:r>
      </w:hyperlink>
      <w:r>
        <w:rPr>
          <w:rFonts w:ascii="Times New Roman" w:hAnsi="Times New Roman"/>
          <w:b w:val="false"/>
          <w:i w:val="false"/>
          <w:color w:val="000000"/>
          <w:sz w:val="22"/>
        </w:rPr>
        <w:t xml:space="preserve"> will be provided to all students in kindergarten through grade three who are identified as being persistently at risk in reading. The services will meet the specifications in the following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will provide intensive instructional services during regular school hours, in addition to the regular reading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will provide a reading curriculum that meets the standards of subrule </w:t>
      </w:r>
      <w:hyperlink r:id="rId30">
        <w:r>
          <w:rPr>
            <w:rStyle w:val="Hyperlink"/>
            <w:rFonts w:ascii="Times New Roman" w:hAnsi="Times New Roman"/>
            <w:b w:val="false"/>
            <w:i w:val="false"/>
            <w:color w:val="000000"/>
            <w:sz w:val="22"/>
          </w:rPr>
          <w:t>62.4(3)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color w:val="000000"/>
          <w:sz w:val="22"/>
        </w:rPr>
        <w:t xml:space="preserve">Reading curriculum for students who are persistently at risk in reading. </w:t>
      </w:r>
      <w:r>
        <w:rPr>
          <w:rFonts w:ascii="Times New Roman" w:hAnsi="Times New Roman"/>
          <w:b w:val="false"/>
          <w:i w:val="false"/>
          <w:color w:val="000000"/>
          <w:sz w:val="22"/>
        </w:rPr>
        <w:t>A curriculum that does not meet the standards of this subrule shall not be used to implement this chapter. To implement this subrule, a school district will provide a curriculum that meets the following guidelines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Assists students assessed as persistently at risk in reading to develop the skills to read at grade level. Assistance shall include but not be limited to strategies that formally address dyslexia, when appropriate. For purposes of this paragraph, “dyslexia” means a specific learning disability that is neurobiological in origin, is characterized by difficulties with accurate or fluent word recognition and by poor spelling and decoding abilities, and may include difficulties that typically result from a deficit in the phonological component of language that is often unexpected in relation to other cognitive abilities and the provision of effective classroom instruction, as well as secondary consequences such as problems in reading comprehension and reduced reading experience that can impede growth of vocabulary and background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skill development in phonemic awareness, phonics, fluency, vocabulary, and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supported by scientifically based research in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implemented by certified instructional staff with appropriate training and professional development. Such training and professional development will meet the provisions of </w:t>
      </w:r>
      <w:hyperlink r:id="rId31">
        <w:r>
          <w:rPr>
            <w:rStyle w:val="Hyperlink"/>
            <w:rFonts w:ascii="Times New Roman" w:hAnsi="Times New Roman"/>
            <w:b w:val="false"/>
            <w:i w:val="false"/>
            <w:color w:val="000000"/>
            <w:sz w:val="22"/>
          </w:rPr>
          <w:t>281—Chapter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implemented by certified instructional staff with fidelity, which meets such standards for fidelity of implementation that the department may adopt.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a scientifically based and reliable assessment, which meets the provisions of rule </w:t>
      </w:r>
      <w:hyperlink r:id="rId32">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(256,279).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initial and ongoing analysis of each student’s reading progress, which meets the provisions of rule </w:t>
      </w:r>
      <w:hyperlink r:id="rId33">
        <w:r>
          <w:rPr>
            <w:rStyle w:val="Hyperlink"/>
            <w:rFonts w:ascii="Times New Roman" w:hAnsi="Times New Roman"/>
            <w:b w:val="false"/>
            <w:i w:val="false"/>
            <w:color w:val="000000"/>
            <w:sz w:val="22"/>
          </w:rPr>
          <w:t>281—62.1</w:t>
        </w:r>
      </w:hyperlink>
      <w:r>
        <w:rPr>
          <w:rFonts w:ascii="Times New Roman" w:hAnsi="Times New Roman"/>
          <w:b w:val="false"/>
          <w:i w:val="false"/>
          <w:color w:val="000000"/>
          <w:sz w:val="22"/>
        </w:rPr>
        <w:t xml:space="preserve">(256,279), with notice provided to parents pursuant to subrule </w:t>
      </w:r>
      <w:hyperlink r:id="rId34">
        <w:r>
          <w:rPr>
            <w:rStyle w:val="Hyperlink"/>
            <w:rFonts w:ascii="Times New Roman" w:hAnsi="Times New Roman"/>
            <w:b w:val="false"/>
            <w:i w:val="false"/>
            <w:color w:val="000000"/>
            <w:sz w:val="22"/>
          </w:rPr>
          <w:t>62.4(4)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implemented during regular school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Provides a curriculum in core academic subjects to assist the student in maintaining or meeting proficiency levels for the appropriate grade in all academic subjects.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w:t>
      </w:r>
      <w:r>
        <w:rPr>
          <w:rFonts w:ascii="Times New Roman" w:hAnsi="Times New Roman"/>
          <w:b w:val="false"/>
          <w:i w:val="false"/>
          <w:color w:val="000000"/>
          <w:sz w:val="22"/>
        </w:rPr>
        <w:t> </w:t>
      </w:r>
      <w:r>
        <w:rPr>
          <w:rFonts w:ascii="Times New Roman" w:hAnsi="Times New Roman"/>
          <w:b w:val="false"/>
          <w:i/>
          <w:color w:val="000000"/>
          <w:sz w:val="22"/>
        </w:rPr>
        <w:t xml:space="preserve">Parent notice, involvement and support. </w:t>
      </w:r>
      <w:r>
        <w:rPr>
          <w:rFonts w:ascii="Times New Roman" w:hAnsi="Times New Roman"/>
          <w:b w:val="false"/>
          <w:i w:val="false"/>
          <w:color w:val="000000"/>
          <w:sz w:val="22"/>
        </w:rPr>
        <w:t>At a minimum and in addition to other provisions of this chapter, school districts will provide the following to all parents or guardians of students who are persistently at risk in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regular intervals, a school district will apprise the parent or guardian of academic and other progress being made by the student and give the parent or guardian other useful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required reading enhancement and acceleration strategies provided to students, a school district will provide parents or guardians of students who are persistently at risk in reading with a plan outlined in a parental contract, including participation in regular parent-guided home reading.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w:t>
      </w:r>
      <w:r>
        <w:rPr>
          <w:rFonts w:ascii="Times New Roman" w:hAnsi="Times New Roman"/>
          <w:b w:val="false"/>
          <w:i w:val="false"/>
          <w:color w:val="000000"/>
          <w:sz w:val="22"/>
        </w:rPr>
        <w:t> </w:t>
      </w:r>
      <w:r>
        <w:rPr>
          <w:rFonts w:ascii="Times New Roman" w:hAnsi="Times New Roman"/>
          <w:b w:val="false"/>
          <w:i/>
          <w:color w:val="000000"/>
          <w:sz w:val="22"/>
        </w:rPr>
        <w:t xml:space="preserve">Report to the department. </w:t>
      </w:r>
      <w:r>
        <w:rPr>
          <w:rFonts w:ascii="Times New Roman" w:hAnsi="Times New Roman"/>
          <w:b w:val="false"/>
          <w:i w:val="false"/>
          <w:color w:val="000000"/>
          <w:sz w:val="22"/>
        </w:rPr>
        <w:t>Each school district will report to the department the specific intensive reading interventions and supports implemented by the school district pursuant to this chapter. The department will annually prescribe the components of required or requested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students who are at risk in reading. </w:t>
      </w:r>
      <w:r>
        <w:rPr>
          <w:rFonts w:ascii="Times New Roman" w:hAnsi="Times New Roman"/>
          <w:b w:val="false"/>
          <w:i w:val="false"/>
          <w:color w:val="000000"/>
          <w:sz w:val="22"/>
        </w:rPr>
        <w:t xml:space="preserve">Subject to paragraphs </w:t>
      </w:r>
      <w:hyperlink r:id="rId35">
        <w:r>
          <w:rPr>
            <w:rStyle w:val="Hyperlink"/>
            <w:rFonts w:ascii="Times New Roman" w:hAnsi="Times New Roman"/>
            <w:b w:val="false"/>
            <w:i w:val="false"/>
            <w:color w:val="000000"/>
            <w:sz w:val="22"/>
          </w:rPr>
          <w:t>62.4(6)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school districts may voluntarily provide additional services and interventions to students who are “at risk in reading” as defined in subrule </w:t>
      </w:r>
      <w:hyperlink r:id="rId36">
        <w:r>
          <w:rPr>
            <w:rStyle w:val="Hyperlink"/>
            <w:rFonts w:ascii="Times New Roman" w:hAnsi="Times New Roman"/>
            <w:b w:val="false"/>
            <w:i w:val="false"/>
            <w:color w:val="000000"/>
            <w:sz w:val="22"/>
          </w:rPr>
          <w:t>62.3(1)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districts will provide progress monitoring to students who are at risk in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who was previously persistently at risk and is currently identified as at risk and falls below the grade-level benchmark on a locally determined number of progress monitoring probes, the student will be provided services under this rule until the next screening assessment administered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281—62.5</w:t>
      </w:r>
      <w:r>
        <w:rPr>
          <w:rFonts w:ascii="Times New Roman" w:hAnsi="Times New Roman"/>
          <w:b/>
          <w:i w:val="false"/>
          <w:color w:val="000000"/>
          <w:sz w:val="22"/>
        </w:rPr>
        <w:t xml:space="preserve">(256,279) </w:t>
      </w:r>
      <w:r>
        <w:rPr>
          <w:rFonts w:ascii="Times New Roman" w:hAnsi="Times New Roman"/>
          <w:b/>
          <w:i w:val="false"/>
          <w:color w:val="000000"/>
          <w:sz w:val="22"/>
        </w:rPr>
        <w:t xml:space="preserve">Ensuring continuous improvement in reading proficiency.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To ensure all children are reading proficiently by the end of third grade, each school district will comply with the provisions of Iowa Code section </w:t>
      </w:r>
      <w:hyperlink r:id="rId37">
        <w:r>
          <w:rPr>
            <w:rStyle w:val="Hyperlink"/>
            <w:rFonts w:ascii="Times New Roman" w:hAnsi="Times New Roman"/>
            <w:b w:val="false"/>
            <w:i w:val="false"/>
            <w:color w:val="000000"/>
            <w:sz w:val="22"/>
          </w:rPr>
          <w:t>279.68(3)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color w:val="000000"/>
          <w:sz w:val="22"/>
        </w:rPr>
        <w:t xml:space="preserve">Relationship between this chapter and the department’s general accreditation standards. </w:t>
      </w:r>
      <w:r>
        <w:rPr>
          <w:rFonts w:ascii="Times New Roman" w:hAnsi="Times New Roman"/>
          <w:b w:val="false"/>
          <w:i w:val="false"/>
          <w:color w:val="000000"/>
          <w:sz w:val="22"/>
        </w:rPr>
        <w:t xml:space="preserve">In addition to subrule </w:t>
      </w:r>
      <w:hyperlink r:id="rId38">
        <w:r>
          <w:rPr>
            <w:rStyle w:val="Hyperlink"/>
            <w:rFonts w:ascii="Times New Roman" w:hAnsi="Times New Roman"/>
            <w:b w:val="false"/>
            <w:i w:val="false"/>
            <w:color w:val="000000"/>
            <w:sz w:val="22"/>
          </w:rPr>
          <w:t>62.5(1)</w:t>
        </w:r>
      </w:hyperlink>
      <w:r>
        <w:rPr>
          <w:rFonts w:ascii="Times New Roman" w:hAnsi="Times New Roman"/>
          <w:b w:val="false"/>
          <w:i w:val="false"/>
          <w:color w:val="000000"/>
          <w:sz w:val="22"/>
        </w:rPr>
        <w:t xml:space="preserve">, the department will consider compliance with and performance under this chapter in its enforcement of the general accreditation standards and school improvement process described in </w:t>
      </w:r>
      <w:hyperlink r:id="rId39">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281—62.6</w:t>
      </w:r>
      <w:r>
        <w:rPr>
          <w:rFonts w:ascii="Times New Roman" w:hAnsi="Times New Roman"/>
          <w:b/>
          <w:i w:val="false"/>
          <w:color w:val="000000"/>
          <w:sz w:val="22"/>
        </w:rPr>
        <w:t xml:space="preserve">(256,279) </w:t>
      </w:r>
      <w:r>
        <w:rPr>
          <w:rFonts w:ascii="Times New Roman" w:hAnsi="Times New Roman"/>
          <w:b/>
          <w:i w:val="false"/>
          <w:color w:val="000000"/>
          <w:sz w:val="22"/>
        </w:rPr>
        <w:t xml:space="preserve">Miscellaneous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Services beyond third grade. </w:t>
      </w:r>
      <w:r>
        <w:rPr>
          <w:rFonts w:ascii="Times New Roman" w:hAnsi="Times New Roman"/>
          <w:b w:val="false"/>
          <w:i w:val="false"/>
          <w:color w:val="000000"/>
          <w:sz w:val="22"/>
        </w:rPr>
        <w:t>Students who are identified as persistently at risk in reading at the end of third grade remain entitled to intensive reading instruction. Nothing in this chapter prohibits a school district from determining a student above third grade is persistently at risk in reading or from providing services to a student so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Database. </w:t>
      </w:r>
      <w:r>
        <w:rPr>
          <w:rFonts w:ascii="Times New Roman" w:hAnsi="Times New Roman"/>
          <w:b w:val="false"/>
          <w:i w:val="false"/>
          <w:color w:val="000000"/>
          <w:sz w:val="22"/>
        </w:rPr>
        <w:t xml:space="preserve">In implementing subrule </w:t>
      </w:r>
      <w:hyperlink r:id="rId40">
        <w:r>
          <w:rPr>
            <w:rStyle w:val="Hyperlink"/>
            <w:rFonts w:ascii="Times New Roman" w:hAnsi="Times New Roman"/>
            <w:b w:val="false"/>
            <w:i w:val="false"/>
            <w:color w:val="000000"/>
            <w:sz w:val="22"/>
          </w:rPr>
          <w:t>62.4(5)</w:t>
        </w:r>
      </w:hyperlink>
      <w:r>
        <w:rPr>
          <w:rFonts w:ascii="Times New Roman" w:hAnsi="Times New Roman"/>
          <w:b w:val="false"/>
          <w:i w:val="false"/>
          <w:color w:val="000000"/>
          <w:sz w:val="22"/>
        </w:rPr>
        <w:t>, the department may require school districts to enter assessment and progress monitoring data into a statewide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62.6(3)</w:t>
      </w:r>
      <w:r>
        <w:rPr>
          <w:rFonts w:ascii="Times New Roman" w:hAnsi="Times New Roman"/>
          <w:b w:val="false"/>
          <w:i w:val="false"/>
          <w:color w:val="000000"/>
          <w:sz w:val="22"/>
        </w:rPr>
        <w:t> </w:t>
      </w:r>
      <w:r>
        <w:rPr>
          <w:rFonts w:ascii="Times New Roman" w:hAnsi="Times New Roman"/>
          <w:b w:val="false"/>
          <w:i/>
          <w:color w:val="000000"/>
          <w:sz w:val="22"/>
        </w:rPr>
        <w:t xml:space="preserve">Accredited nonpublic schools. </w:t>
      </w:r>
      <w:r>
        <w:rPr>
          <w:rFonts w:ascii="Times New Roman" w:hAnsi="Times New Roman"/>
          <w:b w:val="false"/>
          <w:i w:val="false"/>
          <w:color w:val="000000"/>
          <w:sz w:val="22"/>
        </w:rPr>
        <w:t xml:space="preserve">Nothing in this chapter prevents an accredited nonpublic school from voluntarily complying with this chapter. Nothing in this chapter prevents the department from offering universal screening or progress monitoring instruments to accredited nonpublic school students or prevents the department from allowing inclusion of those students’ data in the database described in subrule </w:t>
      </w:r>
      <w:hyperlink r:id="rId41">
        <w:r>
          <w:rPr>
            <w:rStyle w:val="Hyperlink"/>
            <w:rFonts w:ascii="Times New Roman" w:hAnsi="Times New Roman"/>
            <w:b w:val="false"/>
            <w:i w:val="false"/>
            <w:color w:val="000000"/>
            <w:sz w:val="22"/>
          </w:rPr>
          <w:t>62.6(2)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chapter obligates a school district to select a particular assessment, instrument, tool, curriculum, or program, so long as the assessment, instrument, tool, curriculum, or program used meets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2">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1331C</w:t>
      </w:r>
      <w:r>
        <w:rPr>
          <w:rFonts w:ascii="Times New Roman" w:hAnsi="Times New Roman"/>
          <w:b w:val="false"/>
          <w:i w:val="false"/>
          <w:color w:val="000000"/>
          <w:sz w:val="21"/>
        </w:rPr>
        <w:t xml:space="preserve"> (Notice ARC 1245C, IAB 12/11/13)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2862C</w:t>
      </w:r>
      <w:r>
        <w:rPr>
          <w:rFonts w:ascii="Times New Roman" w:hAnsi="Times New Roman"/>
          <w:b w:val="false"/>
          <w:i w:val="false"/>
          <w:color w:val="000000"/>
          <w:sz w:val="21"/>
        </w:rPr>
        <w:t xml:space="preserve"> (Notice ARC 2762C,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3291C</w:t>
      </w:r>
      <w:r>
        <w:rPr>
          <w:rFonts w:ascii="Times New Roman" w:hAnsi="Times New Roman"/>
          <w:b w:val="false"/>
          <w:i w:val="false"/>
          <w:color w:val="000000"/>
          <w:sz w:val="21"/>
        </w:rPr>
        <w:t xml:space="preserve"> (Notice ARC 3149C,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5873C</w:t>
      </w:r>
      <w:r>
        <w:rPr>
          <w:rFonts w:ascii="Times New Roman" w:hAnsi="Times New Roman"/>
          <w:b w:val="false"/>
          <w:i w:val="false"/>
          <w:color w:val="000000"/>
          <w:sz w:val="21"/>
        </w:rPr>
        <w:t xml:space="preserve"> (Notice ARC 5663C,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7796C</w:t>
      </w:r>
      <w:r>
        <w:rPr>
          <w:rFonts w:ascii="Times New Roman" w:hAnsi="Times New Roman"/>
          <w:b w:val="false"/>
          <w:i w:val="false"/>
          <w:color w:val="000000"/>
          <w:sz w:val="21"/>
        </w:rPr>
        <w:t xml:space="preserve"> (Notice ARC 7593C,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62.1.pdf" Type="http://schemas.openxmlformats.org/officeDocument/2006/relationships/hyperlink" Id="rId5"/>
    <Relationship TargetMode="External" Target="https://www.legis.iowa.gov/docs/iac/rule/281.62.1.pdf" Type="http://schemas.openxmlformats.org/officeDocument/2006/relationships/hyperlink" Id="rId6"/>
    <Relationship TargetMode="External" Target="https://www.legis.iowa.gov/docs/iac/rule/281.62.1.pdf" Type="http://schemas.openxmlformats.org/officeDocument/2006/relationships/hyperlink" Id="rId7"/>
    <Relationship TargetMode="External" Target="https://www.legis.iowa.gov/docs/iac/rule/281.62.1.pdf" Type="http://schemas.openxmlformats.org/officeDocument/2006/relationships/hyperlink" Id="rId8"/>
    <Relationship TargetMode="External" Target="https://www.legis.iowa.gov/docs/iac/rule/281.62.1.pdf" Type="http://schemas.openxmlformats.org/officeDocument/2006/relationships/hyperlink" Id="rId9"/>
    <Relationship TargetMode="External" Target="https://www.legis.iowa.gov/docs/iac/rule/281.62.1.pdf" Type="http://schemas.openxmlformats.org/officeDocument/2006/relationships/hyperlink" Id="rId10"/>
    <Relationship TargetMode="External" Target="https://www.legis.iowa.gov/docs/iac/rule/281.62.2.pdf" Type="http://schemas.openxmlformats.org/officeDocument/2006/relationships/hyperlink" Id="rId11"/>
    <Relationship TargetMode="External" Target="https://www.legis.iowa.gov/docs/iac/rule/281.62.1.pdf" Type="http://schemas.openxmlformats.org/officeDocument/2006/relationships/hyperlink" Id="rId12"/>
    <Relationship TargetMode="External" Target="https://www.legis.iowa.gov/docs/iac/rule/281.62.3.pdf" Type="http://schemas.openxmlformats.org/officeDocument/2006/relationships/hyperlink" Id="rId13"/>
    <Relationship TargetMode="External" Target="https://www.legis.iowa.gov/docs/iac/rule/281.62.1.pdf" Type="http://schemas.openxmlformats.org/officeDocument/2006/relationships/hyperlink" Id="rId14"/>
    <Relationship TargetMode="External" Target="https://www.legis.iowa.gov/docs/iac/rule/281.62.2.pdf" Type="http://schemas.openxmlformats.org/officeDocument/2006/relationships/hyperlink" Id="rId15"/>
    <Relationship TargetMode="External" Target="https://www.legis.iowa.gov/docs/iac/rule/281.41.320.pdf" Type="http://schemas.openxmlformats.org/officeDocument/2006/relationships/hyperlink" Id="rId16"/>
    <Relationship TargetMode="External" Target="https://www.legis.iowa.gov/docs/ico/chapter/279.68.pdf" Type="http://schemas.openxmlformats.org/officeDocument/2006/relationships/hyperlink" Id="rId17"/>
    <Relationship TargetMode="External" Target="https://www.legis.iowa.gov/docs/iac/rule/281.62.3.pdf" Type="http://schemas.openxmlformats.org/officeDocument/2006/relationships/hyperlink" Id="rId18"/>
    <Relationship TargetMode="External" Target="https://www.legis.iowa.gov/docs/iac/rule/281.62.1.pdf" Type="http://schemas.openxmlformats.org/officeDocument/2006/relationships/hyperlink" Id="rId19"/>
    <Relationship TargetMode="External" Target="https://www.legis.iowa.gov/docs/iac/rule/281.62.2.pdf" Type="http://schemas.openxmlformats.org/officeDocument/2006/relationships/hyperlink" Id="rId20"/>
    <Relationship TargetMode="External" Target="https://www.legis.iowa.gov/docs/iac/rule/281.62.2.pdf" Type="http://schemas.openxmlformats.org/officeDocument/2006/relationships/hyperlink" Id="rId21"/>
    <Relationship TargetMode="External" Target="https://www.legis.iowa.gov/docs/iac/rule/281.62.1.pdf" Type="http://schemas.openxmlformats.org/officeDocument/2006/relationships/hyperlink" Id="rId22"/>
    <Relationship TargetMode="External" Target="https://www.legis.iowa.gov/docs/iac/rule/281.62.2.pdf" Type="http://schemas.openxmlformats.org/officeDocument/2006/relationships/hyperlink" Id="rId23"/>
    <Relationship TargetMode="External" Target="https://www.legis.iowa.gov/docs/iac/rule/281.62.2.pdf" Type="http://schemas.openxmlformats.org/officeDocument/2006/relationships/hyperlink" Id="rId24"/>
    <Relationship TargetMode="External" Target="https://www.legis.iowa.gov/docs/iac/rule/281.62.1.pdf" Type="http://schemas.openxmlformats.org/officeDocument/2006/relationships/hyperlink" Id="rId25"/>
    <Relationship TargetMode="External" Target="https://www.legis.iowa.gov/docs/iac/rule/281.62.4.pdf" Type="http://schemas.openxmlformats.org/officeDocument/2006/relationships/hyperlink" Id="rId26"/>
    <Relationship TargetMode="External" Target="https://www.legis.iowa.gov/docs/ico/chapter/279.68.pdf" Type="http://schemas.openxmlformats.org/officeDocument/2006/relationships/hyperlink" Id="rId27"/>
    <Relationship TargetMode="External" Target="https://www.legis.iowa.gov/docs/ico/chapter/279.68.pdf" Type="http://schemas.openxmlformats.org/officeDocument/2006/relationships/hyperlink" Id="rId28"/>
    <Relationship TargetMode="External" Target="https://www.legis.iowa.gov/docs/iac/rule/281.62.4.pdf" Type="http://schemas.openxmlformats.org/officeDocument/2006/relationships/hyperlink" Id="rId29"/>
    <Relationship TargetMode="External" Target="https://www.legis.iowa.gov/docs/iac/rule/281.62.4.pdf" Type="http://schemas.openxmlformats.org/officeDocument/2006/relationships/hyperlink" Id="rId30"/>
    <Relationship TargetMode="External" Target="https://www.legis.iowa.gov/docs/iac/chapter/281.83.pdf" Type="http://schemas.openxmlformats.org/officeDocument/2006/relationships/hyperlink" Id="rId31"/>
    <Relationship TargetMode="External" Target="https://www.legis.iowa.gov/docs/iac/rule/281.62.1.pdf" Type="http://schemas.openxmlformats.org/officeDocument/2006/relationships/hyperlink" Id="rId32"/>
    <Relationship TargetMode="External" Target="https://www.legis.iowa.gov/docs/iac/rule/281.62.1.pdf" Type="http://schemas.openxmlformats.org/officeDocument/2006/relationships/hyperlink" Id="rId33"/>
    <Relationship TargetMode="External" Target="https://www.legis.iowa.gov/docs/iac/rule/281.62.4.pdf" Type="http://schemas.openxmlformats.org/officeDocument/2006/relationships/hyperlink" Id="rId34"/>
    <Relationship TargetMode="External" Target="https://www.legis.iowa.gov/docs/iac/rule/281.62.4.pdf" Type="http://schemas.openxmlformats.org/officeDocument/2006/relationships/hyperlink" Id="rId35"/>
    <Relationship TargetMode="External" Target="https://www.legis.iowa.gov/docs/iac/rule/281.62.3.pdf" Type="http://schemas.openxmlformats.org/officeDocument/2006/relationships/hyperlink" Id="rId36"/>
    <Relationship TargetMode="External" Target="https://www.legis.iowa.gov/docs/ico/chapter/279.68.pdf" Type="http://schemas.openxmlformats.org/officeDocument/2006/relationships/hyperlink" Id="rId37"/>
    <Relationship TargetMode="External" Target="https://www.legis.iowa.gov/docs/iac/rule/281.62.5.pdf" Type="http://schemas.openxmlformats.org/officeDocument/2006/relationships/hyperlink" Id="rId38"/>
    <Relationship TargetMode="External" Target="https://www.legis.iowa.gov/docs/iac/chapter/281.12.pdf" Type="http://schemas.openxmlformats.org/officeDocument/2006/relationships/hyperlink" Id="rId39"/>
    <Relationship TargetMode="External" Target="https://www.legis.iowa.gov/docs/iac/rule/281.62.4.pdf" Type="http://schemas.openxmlformats.org/officeDocument/2006/relationships/hyperlink" Id="rId40"/>
    <Relationship TargetMode="External" Target="https://www.legis.iowa.gov/docs/iac/rule/281.62.6.pdf" Type="http://schemas.openxmlformats.org/officeDocument/2006/relationships/hyperlink" Id="rId41"/>
    <Relationship TargetMode="External" Target="https://www.legis.iowa.gov/docs/ico/chapter/279.68.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