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IOWA READING RESEARCH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281—61.1</w:t>
      </w:r>
      <w:r>
        <w:rPr>
          <w:rFonts w:ascii="Times New Roman" w:hAnsi="Times New Roman"/>
          <w:b/>
          <w:i w:val="false"/>
          <w:color w:val="000000"/>
          <w:sz w:val="22"/>
        </w:rPr>
        <w:t xml:space="preserve">(256) </w:t>
      </w:r>
      <w:r>
        <w:rPr>
          <w:rFonts w:ascii="Times New Roman" w:hAnsi="Times New Roman"/>
          <w:b/>
          <w:i w:val="false"/>
          <w:color w:val="000000"/>
          <w:sz w:val="22"/>
        </w:rPr>
        <w:t xml:space="preserve">Establishment. </w:t>
      </w:r>
      <w:r>
        <w:rPr>
          <w:rFonts w:ascii="Times New Roman" w:hAnsi="Times New Roman"/>
          <w:b w:val="false"/>
          <w:i w:val="false"/>
          <w:color w:val="000000"/>
          <w:sz w:val="22"/>
        </w:rPr>
        <w:t>There is established an Iowa reading research center (center). The director of the department of education will select a public education entity to serve as the host for the center. The director will give preference to a school district, an area education agency, or the joint area education agencies system. The selection of a host is to be for a specified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281—61.2</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center’s purpose is set forth in Iowa Code section </w:t>
      </w:r>
      <w:hyperlink r:id="rId5">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281—61.3</w:t>
      </w:r>
      <w:r>
        <w:rPr>
          <w:rFonts w:ascii="Times New Roman" w:hAnsi="Times New Roman"/>
          <w:b/>
          <w:i w:val="false"/>
          <w:color w:val="000000"/>
          <w:sz w:val="22"/>
        </w:rPr>
        <w:t xml:space="preserve">(256) </w:t>
      </w:r>
      <w:r>
        <w:rPr>
          <w:rFonts w:ascii="Times New Roman" w:hAnsi="Times New Roman"/>
          <w:b/>
          <w:i w:val="false"/>
          <w:color w:val="000000"/>
          <w:sz w:val="22"/>
        </w:rPr>
        <w:t xml:space="preserve">Intensive summer literacy program. </w:t>
      </w:r>
      <w:r>
        <w:rPr>
          <w:rFonts w:ascii="Times New Roman" w:hAnsi="Times New Roman"/>
          <w:b w:val="false"/>
          <w:i w:val="false"/>
          <w:color w:val="000000"/>
          <w:sz w:val="22"/>
        </w:rPr>
        <w:t>The center hereby establishes program criteria and guidelines for voluntary implementation of the program by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Program criteria: summer reading programs pursuant to Iowa Code section 279.68. </w:t>
      </w:r>
      <w:r>
        <w:rPr>
          <w:rFonts w:ascii="Times New Roman" w:hAnsi="Times New Roman"/>
          <w:b w:val="false"/>
          <w:i w:val="false"/>
          <w:color w:val="000000"/>
          <w:sz w:val="22"/>
        </w:rPr>
        <w:t xml:space="preserve">Each district that chooses to implement a summer reading program as part of its implementation of Iowa Code section </w:t>
      </w:r>
      <w:hyperlink r:id="rId6">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(6) is to comply with the terms of that section and </w:t>
      </w:r>
      <w:hyperlink r:id="rId7">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A school district will employ appropriately licensed and supervised teachers and paraprofessionals, will monitor student progress, and is encouraged to use an evidence-based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Additional voluntary program criteria: intensive summer literacy program. </w:t>
      </w:r>
      <w:r>
        <w:rPr>
          <w:rFonts w:ascii="Times New Roman" w:hAnsi="Times New Roman"/>
          <w:b w:val="false"/>
          <w:i w:val="false"/>
          <w:color w:val="000000"/>
          <w:sz w:val="22"/>
        </w:rPr>
        <w:t xml:space="preserve">Each district’s voluntary intensive summer literacy program is encouraged to meet, in addition to the terms of subrule </w:t>
      </w:r>
      <w:hyperlink r:id="rId8">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the following program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Criterion 1. </w:t>
      </w:r>
      <w:r>
        <w:rPr>
          <w:rFonts w:ascii="Times New Roman" w:hAnsi="Times New Roman"/>
          <w:b w:val="false"/>
          <w:i w:val="false"/>
          <w:color w:val="000000"/>
          <w:sz w:val="22"/>
        </w:rPr>
        <w:t xml:space="preserve">Each district is encouraged to adopt instructional practices or programs that have some evidence of success and that include explicit and systematic instruction in foundational reading skills based on student need, consistent with Iowa Code section </w:t>
      </w:r>
      <w:hyperlink r:id="rId9">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Criterion 2. </w:t>
      </w:r>
      <w:r>
        <w:rPr>
          <w:rFonts w:ascii="Times New Roman" w:hAnsi="Times New Roman"/>
          <w:b w:val="false"/>
          <w:i w:val="false"/>
          <w:color w:val="000000"/>
          <w:sz w:val="22"/>
        </w:rPr>
        <w:t>Each district is to employ skilled, high-quality instructors. For the purposes of this paragraph, a district may hire or employ personnel directly, through an agreement with one or more other districts, through an agreement with one or more accredited nonpublic schools, through an agreement with one or more state agencies or governmental subdivisions, through an agreement with one or more private not-for-profit community agencies,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Criterion 3. </w:t>
      </w:r>
      <w:r>
        <w:rPr>
          <w:rFonts w:ascii="Times New Roman" w:hAnsi="Times New Roman"/>
          <w:b w:val="false"/>
          <w:i w:val="false"/>
          <w:color w:val="000000"/>
          <w:sz w:val="22"/>
        </w:rPr>
        <w:t>Each district is encouraged to allow sufficient time for meaningful reading instruction and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Criterion 4. </w:t>
      </w:r>
      <w:r>
        <w:rPr>
          <w:rFonts w:ascii="Times New Roman" w:hAnsi="Times New Roman"/>
          <w:b w:val="false"/>
          <w:i w:val="false"/>
          <w:color w:val="000000"/>
          <w:sz w:val="22"/>
        </w:rPr>
        <w:t>Each district is encouraged to provide instruction in small classes and small groups. To meet this criterion, a district is encouraged to employ the same instructional grouping formats described in the evidence-based intervention chosen. In the absence of specifications from the intervention chosen, a district is encouraged to ensure that it delivers whole-class instruction in class sizes of 15 or fewer students and that it delivers targeted intervention based on student need in small groups of 5 or fewer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Criterion 5. </w:t>
      </w:r>
      <w:r>
        <w:rPr>
          <w:rFonts w:ascii="Times New Roman" w:hAnsi="Times New Roman"/>
          <w:b w:val="false"/>
          <w:i w:val="false"/>
          <w:color w:val="000000"/>
          <w:sz w:val="22"/>
        </w:rPr>
        <w:t>Each district is encouraged to monitor and promote student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Criterion 6. </w:t>
      </w:r>
      <w:r>
        <w:rPr>
          <w:rFonts w:ascii="Times New Roman" w:hAnsi="Times New Roman"/>
          <w:b w:val="false"/>
          <w:i w:val="false"/>
          <w:color w:val="000000"/>
          <w:sz w:val="22"/>
        </w:rPr>
        <w:t>Each district is encouraged to evaluate student outcomes and the quality of program implementation, including implementation of these voluntary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Criterion 7. </w:t>
      </w:r>
      <w:r>
        <w:rPr>
          <w:rFonts w:ascii="Times New Roman" w:hAnsi="Times New Roman"/>
          <w:b w:val="false"/>
          <w:i w:val="false"/>
          <w:color w:val="000000"/>
          <w:sz w:val="22"/>
        </w:rPr>
        <w:t>Each program is to be under the leadership and supervision of at least one appropriately licensed teacher and at least one appropriately licensed administrator. The two roles may be filled by the same individual. Nonlicensed personnel are to be supervised by an appropriately licensed teacher. It is encouraged that either the teacher or the administrator holds a reading (K-8) endorsement or a reading specialist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Option to use private providers. </w:t>
      </w:r>
      <w:r>
        <w:rPr>
          <w:rFonts w:ascii="Times New Roman" w:hAnsi="Times New Roman"/>
          <w:b w:val="false"/>
          <w:i w:val="false"/>
          <w:color w:val="000000"/>
          <w:sz w:val="22"/>
        </w:rPr>
        <w:t xml:space="preserve">A district may enter into an agreement with a private provider that uses evidence-based instructional strategies to provide summer literacy instruction under this chapter and </w:t>
      </w:r>
      <w:hyperlink r:id="rId10">
        <w:r>
          <w:rPr>
            <w:rStyle w:val="Hyperlink"/>
            <w:rFonts w:ascii="Times New Roman" w:hAnsi="Times New Roman"/>
            <w:b w:val="false"/>
            <w:i w:val="false"/>
            <w:color w:val="000000"/>
            <w:sz w:val="22"/>
          </w:rPr>
          <w:t>281—Chapter 62</w:t>
        </w:r>
      </w:hyperlink>
      <w:r>
        <w:rPr>
          <w:rFonts w:ascii="Times New Roman" w:hAnsi="Times New Roman"/>
          <w:b w:val="false"/>
          <w:i w:val="false"/>
          <w:color w:val="000000"/>
          <w:sz w:val="22"/>
        </w:rPr>
        <w:t>, at the election of a parent and in lieu of programming provided by the district. Any election under this paragraph is at the parent’s sole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Guidelines for implementation by school districts. </w:t>
      </w:r>
      <w:r>
        <w:rPr>
          <w:rFonts w:ascii="Times New Roman" w:hAnsi="Times New Roman"/>
          <w:b w:val="false"/>
          <w:i w:val="false"/>
          <w:color w:val="000000"/>
          <w:sz w:val="22"/>
        </w:rPr>
        <w:t>The center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Publish guidelines to assist school districts in applying the program criteria contained in subrule </w:t>
      </w:r>
      <w:hyperlink r:id="rId11">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and the voluntary criteria contained in subrule </w:t>
      </w:r>
      <w:hyperlink r:id="rId12">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(2) and in improving the performance of intensive summer literacy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such guidelines available on its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281—61.4</w:t>
      </w:r>
      <w:r>
        <w:rPr>
          <w:rFonts w:ascii="Times New Roman" w:hAnsi="Times New Roman"/>
          <w:b/>
          <w:i w:val="false"/>
          <w:color w:val="000000"/>
          <w:sz w:val="22"/>
        </w:rPr>
        <w:t xml:space="preserve">(256) </w:t>
      </w:r>
      <w:r>
        <w:rPr>
          <w:rFonts w:ascii="Times New Roman" w:hAnsi="Times New Roman"/>
          <w:b/>
          <w:i w:val="false"/>
          <w:color w:val="000000"/>
          <w:sz w:val="22"/>
        </w:rPr>
        <w:t xml:space="preserve">Nature of the center’s operation. </w:t>
      </w:r>
      <w:r>
        <w:rPr>
          <w:rFonts w:ascii="Times New Roman" w:hAnsi="Times New Roman"/>
          <w:b w:val="false"/>
          <w:i w:val="false"/>
          <w:color w:val="000000"/>
          <w:sz w:val="22"/>
        </w:rPr>
        <w:t xml:space="preserve">The center’s work is governed by the provisions of Iowa Code section </w:t>
      </w:r>
      <w:hyperlink r:id="rId13">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r>
        <w:rPr>
          <w:rFonts w:ascii="Times New Roman" w:hAnsi="Times New Roman"/>
          <w:b w:val="false"/>
          <w:i w:val="false"/>
          <w:color w:val="000000"/>
          <w:sz w:val="22"/>
        </w:rPr>
        <w:t xml:space="preserve">(2). Annually, the center submits the report specified in Iowa Code section </w:t>
      </w:r>
      <w:hyperlink r:id="rId14">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281—61.5</w:t>
      </w:r>
      <w:r>
        <w:rPr>
          <w:rFonts w:ascii="Times New Roman" w:hAnsi="Times New Roman"/>
          <w:b/>
          <w:i w:val="false"/>
          <w:color w:val="000000"/>
          <w:sz w:val="22"/>
        </w:rPr>
        <w:t xml:space="preserve">(256) </w:t>
      </w:r>
      <w:r>
        <w:rPr>
          <w:rFonts w:ascii="Times New Roman" w:hAnsi="Times New Roman"/>
          <w:b/>
          <w:i w:val="false"/>
          <w:color w:val="000000"/>
          <w:sz w:val="22"/>
        </w:rPr>
        <w:t xml:space="preserve">Nature of the center’s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center’s strategies, models, materials, and assessments, including the products referred to in subrule </w:t>
      </w:r>
      <w:hyperlink r:id="rId15">
        <w:r>
          <w:rPr>
            <w:rStyle w:val="Hyperlink"/>
            <w:rFonts w:ascii="Times New Roman" w:hAnsi="Times New Roman"/>
            <w:b w:val="false"/>
            <w:i w:val="false"/>
            <w:color w:val="000000"/>
            <w:sz w:val="22"/>
          </w:rPr>
          <w:t>61.6(3)</w:t>
        </w:r>
      </w:hyperlink>
      <w:r>
        <w:rPr>
          <w:rFonts w:ascii="Times New Roman" w:hAnsi="Times New Roman"/>
          <w:b w:val="false"/>
          <w:i w:val="false"/>
          <w:color w:val="000000"/>
          <w:sz w:val="22"/>
        </w:rPr>
        <w:t xml:space="preserve">, are judged by and subject to the following requirements. To the extent possible, strategies, models, materials, and assessments, including the products referred to in subrule </w:t>
      </w:r>
      <w:hyperlink r:id="rId16">
        <w:r>
          <w:rPr>
            <w:rStyle w:val="Hyperlink"/>
            <w:rFonts w:ascii="Times New Roman" w:hAnsi="Times New Roman"/>
            <w:b w:val="false"/>
            <w:i w:val="false"/>
            <w:color w:val="000000"/>
            <w:sz w:val="22"/>
          </w:rPr>
          <w:t>61.6(3)</w:t>
        </w:r>
      </w:hyperlink>
      <w:r>
        <w:rPr>
          <w:rFonts w:ascii="Times New Roman" w:hAnsi="Times New Roman"/>
          <w:b w:val="false"/>
          <w:i w:val="false"/>
          <w:color w:val="000000"/>
          <w:sz w:val="22"/>
        </w:rPr>
        <w: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research-based.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evidence establishing that they are replicable by Iowa school districts, area education agencies, and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evidence establishing that they are capable of sustainable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widely and liberally distributed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Intellectual property. </w:t>
      </w:r>
      <w:r>
        <w:rPr>
          <w:rFonts w:ascii="Times New Roman" w:hAnsi="Times New Roman"/>
          <w:b w:val="false"/>
          <w:i w:val="false"/>
          <w:color w:val="000000"/>
          <w:sz w:val="22"/>
        </w:rPr>
        <w:t>Regardless of any intellectual property right that may accrue to the center, the department of education and each school district, area education agency, and accredited nonpublic school will have a perpetual, irrevocable, royalty-free, nonexclusive, nontransferable license to use any of the strategies, models, and materials produced by the center. Regardless of any intellectual property right that may accrue to the center, each school district, area education agency, accredited nonpublic school, and practitioner preparation program approved by the department of education has a perpetual, irrevocable, royalty-free, nonexclusive, nontransferable license to use any of the strategies, models, and materials produced by the center to provide training to current and prospective teachers and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281—61.6</w:t>
      </w:r>
      <w:r>
        <w:rPr>
          <w:rFonts w:ascii="Times New Roman" w:hAnsi="Times New Roman"/>
          <w:b/>
          <w:i w:val="false"/>
          <w:color w:val="000000"/>
          <w:sz w:val="22"/>
        </w:rPr>
        <w:t xml:space="preserve">(256) </w:t>
      </w:r>
      <w:r>
        <w:rPr>
          <w:rFonts w:ascii="Times New Roman" w:hAnsi="Times New Roman"/>
          <w:b/>
          <w:i w:val="false"/>
          <w:color w:val="000000"/>
          <w:sz w:val="22"/>
        </w:rPr>
        <w:t xml:space="preserve">Governance and leadership of the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Director and other personnel. </w:t>
      </w:r>
      <w:r>
        <w:rPr>
          <w:rFonts w:ascii="Times New Roman" w:hAnsi="Times New Roman"/>
          <w:b w:val="false"/>
          <w:i w:val="false"/>
          <w:color w:val="000000"/>
          <w:sz w:val="22"/>
        </w:rPr>
        <w:t xml:space="preserve">The center’s director will be employed by the host referred to in rule </w:t>
      </w:r>
      <w:hyperlink r:id="rId17">
        <w:r>
          <w:rPr>
            <w:rStyle w:val="Hyperlink"/>
            <w:rFonts w:ascii="Times New Roman" w:hAnsi="Times New Roman"/>
            <w:b w:val="false"/>
            <w:i w:val="false"/>
            <w:color w:val="000000"/>
            <w:sz w:val="22"/>
          </w:rPr>
          <w:t>281—61.1(256)</w:t>
        </w:r>
      </w:hyperlink>
      <w:r>
        <w:rPr>
          <w:rFonts w:ascii="Times New Roman" w:hAnsi="Times New Roman"/>
          <w:b w:val="false"/>
          <w:i w:val="false"/>
          <w:color w:val="000000"/>
          <w:sz w:val="22"/>
        </w:rPr>
        <w:t>. The director of the department of education or the director’s designee, in consultation with the host and the advisory council, will select, determine the compensation of, and annually evaluate the director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director of the center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Enacting the priorities of the reading research center, as defined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Achieving the Iowa reading research center’s mission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Directing the center’s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Managing the center’s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Managing and overseeing the request for proposal (RFP) or contracting process or both to enact priorities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oversight and management of all contracts and projects initiated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Establishing models for an intensive summer literacy program replicable in Iowa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Disseminating literacy research and its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Submitting required reports to the department and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may employ such other personnel as may be necessary to fulfill its responsibilities, upon approval of such positions by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When setting priorities for the center, the department of education seeks advice and assistance from an advisory council. The advisory council is to establish its bylaws and govern itself by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consist of representatives of the department, school districts, area education agencies, accredited nonpublic schools, institutions of higher education, organizations representing reading and literacy teachers, community-based nonprofit organizations that are focused on literacy, statewide literacy organizations, and parents. Members who offer other perspectives may be appointed. Members may serve in more than one role. Members are appointed by the director of the department of education or the director’s designee. Actual expenses for members of the advisory council may be assumed by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recommend and continually review center priorities, which are to be consistent with these rules. The advisory council annually will submit to the department a recommended set of projects and priorities for the reading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provide input to the director of the department on the desired qualifications for the position of director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advisory council will advise and assist the center in preparing the annual report as set out in rule </w:t>
      </w:r>
      <w:hyperlink r:id="rId18">
        <w:r>
          <w:rPr>
            <w:rStyle w:val="Hyperlink"/>
            <w:rFonts w:ascii="Times New Roman" w:hAnsi="Times New Roman"/>
            <w:b w:val="false"/>
            <w:i w:val="false"/>
            <w:color w:val="000000"/>
            <w:sz w:val="22"/>
          </w:rPr>
          <w:t>281—61.4(256)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foster collaboration across the Iowa reading research and evaluation community and will serve as a facilitator in identifying additional research needs and ways to apply research to practice in Iowa schools and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assist the director of the center in reviewing proposals for quality, viability, and statewide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of the advisory council are public meetings subject to Iowa Code chapter </w:t>
      </w:r>
      <w:hyperlink r:id="rId1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Use of advisory council recommendations. </w:t>
      </w:r>
      <w:r>
        <w:rPr>
          <w:rFonts w:ascii="Times New Roman" w:hAnsi="Times New Roman"/>
          <w:b w:val="false"/>
          <w:i w:val="false"/>
          <w:color w:val="000000"/>
          <w:sz w:val="22"/>
        </w:rPr>
        <w:t>The department is to consider the priorities established by its advisory council in determining which projects or activities to direct the center to enact, consistent with these rules and with the center’s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Contracts and awards. </w:t>
      </w:r>
      <w:r>
        <w:rPr>
          <w:rFonts w:ascii="Times New Roman" w:hAnsi="Times New Roman"/>
          <w:b w:val="false"/>
          <w:i w:val="false"/>
          <w:color w:val="000000"/>
          <w:sz w:val="22"/>
        </w:rPr>
        <w:t xml:space="preserve">In the furtherance of its work, the center may contract with other entities or may make awards by competitive bid. The rules in this chapter are incorporated by reference in any contract or award under this subrule. Any product produced pursuant to a contract or award is subject to these rules, including subrule </w:t>
      </w:r>
      <w:hyperlink r:id="rId20">
        <w:r>
          <w:rPr>
            <w:rStyle w:val="Hyperlink"/>
            <w:rFonts w:ascii="Times New Roman" w:hAnsi="Times New Roman"/>
            <w:b w:val="false"/>
            <w:i w:val="false"/>
            <w:color w:val="000000"/>
            <w:sz w:val="22"/>
          </w:rPr>
          <w:t>61.5(2)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281—61.7</w:t>
      </w:r>
      <w:r>
        <w:rPr>
          <w:rFonts w:ascii="Times New Roman" w:hAnsi="Times New Roman"/>
          <w:b/>
          <w:i w:val="false"/>
          <w:color w:val="000000"/>
          <w:sz w:val="22"/>
        </w:rPr>
        <w:t xml:space="preserve">(256) </w:t>
      </w:r>
      <w:r>
        <w:rPr>
          <w:rFonts w:ascii="Times New Roman" w:hAnsi="Times New Roman"/>
          <w:b/>
          <w:i w:val="false"/>
          <w:color w:val="000000"/>
          <w:sz w:val="22"/>
        </w:rPr>
        <w:t xml:space="preserve">Financing of the center. </w:t>
      </w:r>
      <w:r>
        <w:rPr>
          <w:rFonts w:ascii="Times New Roman" w:hAnsi="Times New Roman"/>
          <w:b w:val="false"/>
          <w:i w:val="false"/>
          <w:color w:val="000000"/>
          <w:sz w:val="22"/>
        </w:rPr>
        <w:t>The center will be financed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color w:val="000000"/>
          <w:sz w:val="22"/>
        </w:rPr>
        <w:t xml:space="preserve">Host as fiscal agent. </w:t>
      </w:r>
      <w:r>
        <w:rPr>
          <w:rFonts w:ascii="Times New Roman" w:hAnsi="Times New Roman"/>
          <w:b w:val="false"/>
          <w:i w:val="false"/>
          <w:color w:val="000000"/>
          <w:sz w:val="22"/>
        </w:rPr>
        <w:t>The host is the fiscal agent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color w:val="000000"/>
          <w:sz w:val="22"/>
        </w:rPr>
        <w:t xml:space="preserve">Public or private funds. </w:t>
      </w:r>
      <w:r>
        <w:rPr>
          <w:rFonts w:ascii="Times New Roman" w:hAnsi="Times New Roman"/>
          <w:b w:val="false"/>
          <w:i w:val="false"/>
          <w:color w:val="000000"/>
          <w:sz w:val="22"/>
        </w:rPr>
        <w:t>The host and the center may solicit and accept funds from public and private sources for the fulfillment of the mission and purpose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w:t>
      </w:r>
      <w:r>
        <w:rPr>
          <w:rFonts w:ascii="Times New Roman" w:hAnsi="Times New Roman"/>
          <w:b w:val="false"/>
          <w:i w:val="false"/>
          <w:color w:val="000000"/>
          <w:sz w:val="22"/>
        </w:rPr>
        <w:t> </w:t>
      </w:r>
      <w:r>
        <w:rPr>
          <w:rFonts w:ascii="Times New Roman" w:hAnsi="Times New Roman"/>
          <w:b w:val="false"/>
          <w:i/>
          <w:color w:val="000000"/>
          <w:sz w:val="22"/>
        </w:rPr>
        <w:t xml:space="preserve">Oversight by the department. </w:t>
      </w:r>
      <w:r>
        <w:rPr>
          <w:rFonts w:ascii="Times New Roman" w:hAnsi="Times New Roman"/>
          <w:b w:val="false"/>
          <w:i w:val="false"/>
          <w:color w:val="000000"/>
          <w:sz w:val="22"/>
        </w:rPr>
        <w:t>The department has oversight responsibilities for the financial operations of the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256.7(31)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“c.”</w:t>
      </w:r>
    </w:p>
    <w:p>
      <w:pPr>
        <w:spacing w:before="0" w:after="0"/>
        <w:ind w:left="120"/>
        <w:jc w:val="center"/>
      </w:pPr>
      <w:r>
        <w:rPr>
          <w:rFonts w:ascii="Times New Roman" w:hAnsi="Times New Roman"/>
          <w:b w:val="false"/>
          <w:i w:val="false"/>
          <w:color w:val="000000"/>
          <w:sz w:val="21"/>
        </w:rPr>
        <w:t>[Filed ARC 0475C</w:t>
      </w:r>
      <w:r>
        <w:rPr>
          <w:rFonts w:ascii="Times New Roman" w:hAnsi="Times New Roman"/>
          <w:b w:val="false"/>
          <w:i w:val="false"/>
          <w:color w:val="000000"/>
          <w:sz w:val="21"/>
        </w:rPr>
        <w:t xml:space="preserve"> (Notice ARC 0389C,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2343C</w:t>
      </w:r>
      <w:r>
        <w:rPr>
          <w:rFonts w:ascii="Times New Roman" w:hAnsi="Times New Roman"/>
          <w:b w:val="false"/>
          <w:i w:val="false"/>
          <w:color w:val="000000"/>
          <w:sz w:val="21"/>
        </w:rPr>
        <w:t xml:space="preserve"> (Notice ARC 2186C, IAB 10/14/15)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3290C</w:t>
      </w:r>
      <w:r>
        <w:rPr>
          <w:rFonts w:ascii="Times New Roman" w:hAnsi="Times New Roman"/>
          <w:b w:val="false"/>
          <w:i w:val="false"/>
          <w:color w:val="000000"/>
          <w:sz w:val="21"/>
        </w:rPr>
        <w:t xml:space="preserve"> (Notice ARC 3148C,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7660C</w:t>
      </w:r>
      <w:r>
        <w:rPr>
          <w:rFonts w:ascii="Times New Roman" w:hAnsi="Times New Roman"/>
          <w:b w:val="false"/>
          <w:i w:val="false"/>
          <w:color w:val="000000"/>
          <w:sz w:val="21"/>
        </w:rPr>
        <w:t xml:space="preserve"> (Notice ARC 7165C,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9.pdf" Type="http://schemas.openxmlformats.org/officeDocument/2006/relationships/hyperlink" Id="rId5"/>
    <Relationship TargetMode="External" Target="https://www.legis.iowa.gov/docs/ico/chapter/279.68.pdf" Type="http://schemas.openxmlformats.org/officeDocument/2006/relationships/hyperlink" Id="rId6"/>
    <Relationship TargetMode="External" Target="https://www.legis.iowa.gov/docs/iac/chapter/281.62.pdf" Type="http://schemas.openxmlformats.org/officeDocument/2006/relationships/hyperlink" Id="rId7"/>
    <Relationship TargetMode="External" Target="https://www.legis.iowa.gov/docs/iac/rule/281.61.3.pdf" Type="http://schemas.openxmlformats.org/officeDocument/2006/relationships/hyperlink" Id="rId8"/>
    <Relationship TargetMode="External" Target="https://www.legis.iowa.gov/docs/ico/chapter/279.68.pdf" Type="http://schemas.openxmlformats.org/officeDocument/2006/relationships/hyperlink" Id="rId9"/>
    <Relationship TargetMode="External" Target="https://www.legis.iowa.gov/docs/iac/chapter/281.62.pdf" Type="http://schemas.openxmlformats.org/officeDocument/2006/relationships/hyperlink" Id="rId10"/>
    <Relationship TargetMode="External" Target="https://www.legis.iowa.gov/docs/iac/rule/281.61.3.pdf" Type="http://schemas.openxmlformats.org/officeDocument/2006/relationships/hyperlink" Id="rId11"/>
    <Relationship TargetMode="External" Target="https://www.legis.iowa.gov/docs/iac/rule/281.61.3.pdf" Type="http://schemas.openxmlformats.org/officeDocument/2006/relationships/hyperlink" Id="rId12"/>
    <Relationship TargetMode="External" Target="https://www.legis.iowa.gov/docs/ico/chapter/256.9.pdf" Type="http://schemas.openxmlformats.org/officeDocument/2006/relationships/hyperlink" Id="rId13"/>
    <Relationship TargetMode="External" Target="https://www.legis.iowa.gov/docs/ico/chapter/256.9.pdf" Type="http://schemas.openxmlformats.org/officeDocument/2006/relationships/hyperlink" Id="rId14"/>
    <Relationship TargetMode="External" Target="https://www.legis.iowa.gov/docs/iac/rule/281.61.6.pdf" Type="http://schemas.openxmlformats.org/officeDocument/2006/relationships/hyperlink" Id="rId15"/>
    <Relationship TargetMode="External" Target="https://www.legis.iowa.gov/docs/iac/rule/281.61.6.pdf" Type="http://schemas.openxmlformats.org/officeDocument/2006/relationships/hyperlink" Id="rId16"/>
    <Relationship TargetMode="External" Target="https://www.legis.iowa.gov/docs/iac/rule/281.61.1.pdf" Type="http://schemas.openxmlformats.org/officeDocument/2006/relationships/hyperlink" Id="rId17"/>
    <Relationship TargetMode="External" Target="https://www.legis.iowa.gov/docs/iac/rule/281.61.4.pdf" Type="http://schemas.openxmlformats.org/officeDocument/2006/relationships/hyperlink" Id="rId18"/>
    <Relationship TargetMode="External" Target="https://www.legis.iowa.gov/docs/ico/chapter/21.pdf" Type="http://schemas.openxmlformats.org/officeDocument/2006/relationships/hyperlink" Id="rId19"/>
    <Relationship TargetMode="External" Target="https://www.legis.iowa.gov/docs/iac/rule/281.61.5.pdf" Type="http://schemas.openxmlformats.org/officeDocument/2006/relationships/hyperlink" Id="rId20"/>
    <Relationship TargetMode="External" Target="https://www.legis.iowa.gov/docs/ico/chapter/256.7.pdf" Type="http://schemas.openxmlformats.org/officeDocument/2006/relationships/hyperlink" Id="rId21"/>
    <Relationship TargetMode="External" Target="https://www.legis.iowa.gov/docs/ico/chapter/256.9.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