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PROGRAMS FOR STUDENTS WHO ARE ENGLISH LEARNERS</w:t>
      </w:r>
    </w:p>
    <w:p>
      <w:pPr>
        <w:spacing w:before="0" w:after="0"/>
        <w:ind w:left="120"/>
        <w:jc w:val="center"/>
      </w:pPr>
      <w:r>
        <w:rPr>
          <w:rFonts w:ascii="Times New Roman" w:hAnsi="Times New Roman"/>
          <w:b w:val="false"/>
          <w:i w:val="false"/>
          <w:color w:val="000000"/>
          <w:sz w:val="14"/>
        </w:rPr>
        <w:t>[Prior to 9/7/88, see Public Instruction Department[670] Ch 57]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281—60.1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“Bilingual instruction” </w:t>
      </w:r>
      <w:r>
        <w:rPr>
          <w:rFonts w:ascii="Times New Roman" w:hAnsi="Times New Roman"/>
          <w:b w:val="false"/>
          <w:i w:val="false"/>
          <w:color w:val="000000"/>
          <w:sz w:val="22"/>
        </w:rPr>
        <w:t>refers to a program of instruction in English and the native language of the student designed to enable students to become proficient in English and in academic content areas at an age- and grade-appropriate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and instructional model” </w:t>
      </w:r>
      <w:r>
        <w:rPr>
          <w:rFonts w:ascii="Times New Roman" w:hAnsi="Times New Roman"/>
          <w:b w:val="false"/>
          <w:i w:val="false"/>
          <w:color w:val="000000"/>
          <w:sz w:val="22"/>
        </w:rPr>
        <w:t>means an instructional model, strategy, method, or skill that provides a framework of instructional approaches to guide decision making about teaching and learning. Based on the needs of particular students, “educational and instructional model” may include a specific set of instructional services or a fully developed curriculum or other supplementary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“English as a second language” </w:t>
      </w:r>
      <w:r>
        <w:rPr>
          <w:rFonts w:ascii="Times New Roman" w:hAnsi="Times New Roman"/>
          <w:b w:val="false"/>
          <w:i w:val="false"/>
          <w:color w:val="000000"/>
          <w:sz w:val="22"/>
        </w:rPr>
        <w:t>refers to a structured language acquisition program designed to teach English to students whose native language is other than English, until the student demonstrates a functional ability to speak, read, write, and listen to English language at the age- and grade-appropriate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“English learner”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“Fully English proficient”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student”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student”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“Research-based” </w:t>
      </w:r>
      <w:r>
        <w:rPr>
          <w:rFonts w:ascii="Times New Roman" w:hAnsi="Times New Roman"/>
          <w:b w:val="false"/>
          <w:i w:val="false"/>
          <w:color w:val="000000"/>
          <w:sz w:val="22"/>
        </w:rPr>
        <w:t>means based on a body of research showing that the educational and instructional model, or other educational practice, has a high likelihood of improving teaching and learning. To determine whether research meets this standard for purposes of this chapter, research reports are reviewed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population studied;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Research that involves the application of rigorous, systematic, and objective procedures to obtain reliable results and provide a basis for valid inferences relevant to education activities and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 research employs systematic, empirical methods that draw on observation or experiment;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Reliance on measurement or observational methods that provide reliable and valid data;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Inclusion of rigorous data analyses that are adequate to test the stated hypotheses and justify the general conclusions or inferences drawn;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Description of the magnitude of the impact on student learning results;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Inclusion of the level of the review of the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281—60.2</w:t>
      </w:r>
      <w:r>
        <w:rPr>
          <w:rFonts w:ascii="Times New Roman" w:hAnsi="Times New Roman"/>
          <w:b/>
          <w:i w:val="false"/>
          <w:color w:val="000000"/>
          <w:sz w:val="22"/>
        </w:rPr>
        <w:t xml:space="preserve">(280) </w:t>
      </w:r>
      <w:r>
        <w:rPr>
          <w:rFonts w:ascii="Times New Roman" w:hAnsi="Times New Roman"/>
          <w:b/>
          <w:i w:val="false"/>
          <w:color w:val="000000"/>
          <w:sz w:val="22"/>
        </w:rPr>
        <w:t xml:space="preserve">School district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color w:val="000000"/>
          <w:sz w:val="22"/>
        </w:rPr>
        <w:t xml:space="preserve">Student identification and assessment. </w:t>
      </w:r>
      <w:r>
        <w:rPr>
          <w:rFonts w:ascii="Times New Roman" w:hAnsi="Times New Roman"/>
          <w:b w:val="false"/>
          <w:i w:val="false"/>
          <w:color w:val="000000"/>
          <w:sz w:val="22"/>
        </w:rPr>
        <w:t>A school district shall use the following criteria in determining a student’s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the necessity of conducting an English language assessment, the district includes a home language survey as part of the registration process. If the answers to the home language survey indicate the prominent use of another language in the home, the student is assessed by the district using the state-approved English language proficiency screener assessment to determine eligibility for language development services. A student scoring proficient is not eligible for services. If a student does not score proficient on the screener assessment, the student is determined to be an English learner.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 is assessed annually on the state’s approved summative English language proficiency assessment aligned to the state’s English language proficiency standards in order to determine progress and attainment of English. A consistent plan of evaluation that includes ongoing evaluation of student progress will be developed and implemented by the district for each student so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Teachers in an English as a second language (ESL) program will possess a valid Iowa teaching license and an ESL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color w:val="000000"/>
          <w:sz w:val="22"/>
        </w:rPr>
        <w:t xml:space="preserve">English learner placement. </w:t>
      </w:r>
      <w:r>
        <w:rPr>
          <w:rFonts w:ascii="Times New Roman" w:hAnsi="Times New Roman"/>
          <w:b w:val="false"/>
          <w:i w:val="false"/>
          <w:color w:val="000000"/>
          <w:sz w:val="22"/>
        </w:rPr>
        <w:t>Placement of students identified as English learners will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classes. </w:t>
      </w:r>
      <w:r>
        <w:rPr>
          <w:rFonts w:ascii="Times New Roman" w:hAnsi="Times New Roman"/>
          <w:b w:val="false"/>
          <w:i w:val="false"/>
          <w:color w:val="000000"/>
          <w:sz w:val="22"/>
        </w:rPr>
        <w:t>Students will be placed in classes with age-appropriate peers. Students will be provided instructional strategies to support content learning at all levels of language proficiency.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English learner program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Students enrolled in a program for English learners receive systematic English language instruction designed to allow meaningful access to the district’s educational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students of different age groups or educational levels are combined in the same class, the school ensures that the instruction given is appropriate to each student’s level of educational attainment. Programs will be research-based and grounded in sound language acquisition theory.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program of bilingual instruction may include the participation of students whose native language is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exits the English language development program upon scoring proficient on the state-approved annual summative English language proficiency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district instructional staff and area education agency (AEA) staff responsible for implementing the educational and instructional models defined in rule </w:t>
      </w:r>
      <w:hyperlink r:id="rId9">
        <w:r>
          <w:rPr>
            <w:rStyle w:val="Hyperlink"/>
            <w:rFonts w:ascii="Times New Roman" w:hAnsi="Times New Roman"/>
            <w:b w:val="false"/>
            <w:i w:val="false"/>
            <w:color w:val="000000"/>
            <w:sz w:val="22"/>
          </w:rPr>
          <w:t>281—60.1</w:t>
        </w:r>
      </w:hyperlink>
      <w:r>
        <w:rPr>
          <w:rFonts w:ascii="Times New Roman" w:hAnsi="Times New Roman"/>
          <w:b w:val="false"/>
          <w:i w:val="false"/>
          <w:color w:val="000000"/>
          <w:sz w:val="22"/>
        </w:rPr>
        <w:t xml:space="preserve">(280) receive such professional development as may be necessary to implement those educational and instructional models. Such professional development is delivered in accordance with </w:t>
      </w:r>
      <w:hyperlink r:id="rId10">
        <w:r>
          <w:rPr>
            <w:rStyle w:val="Hyperlink"/>
            <w:rFonts w:ascii="Times New Roman" w:hAnsi="Times New Roman"/>
            <w:b w:val="false"/>
            <w:i w:val="false"/>
            <w:color w:val="000000"/>
            <w:sz w:val="22"/>
          </w:rPr>
          <w:t>281—Chapter 83</w:t>
        </w:r>
      </w:hyperlink>
      <w:r>
        <w:rPr>
          <w:rFonts w:ascii="Times New Roman" w:hAnsi="Times New Roman"/>
          <w:b w:val="false"/>
          <w:i w:val="false"/>
          <w:color w:val="000000"/>
          <w:sz w:val="22"/>
        </w:rPr>
        <w:t xml:space="preserve">, including qualification of providers. In determining whether providers meet the standards in </w:t>
      </w:r>
      <w:hyperlink r:id="rId11">
        <w:r>
          <w:rPr>
            <w:rStyle w:val="Hyperlink"/>
            <w:rFonts w:ascii="Times New Roman" w:hAnsi="Times New Roman"/>
            <w:b w:val="false"/>
            <w:i w:val="false"/>
            <w:color w:val="000000"/>
            <w:sz w:val="22"/>
          </w:rPr>
          <w:t>281—Chapter 83</w:t>
        </w:r>
      </w:hyperlink>
      <w:r>
        <w:rPr>
          <w:rFonts w:ascii="Times New Roman" w:hAnsi="Times New Roman"/>
          <w:b w:val="false"/>
          <w:i w:val="false"/>
          <w:color w:val="000000"/>
          <w:sz w:val="22"/>
        </w:rPr>
        <w:t>, the following nonexhaustive factors may be considered, as they are relevant to the particular professional development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ESL endorsement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Five years of ESL teaching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graduate degree in teaching English to speakers of other languages or in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color w:val="000000"/>
          <w:sz w:val="22"/>
        </w:rPr>
        <w:t xml:space="preserve">Research-based educational and instructional models. </w:t>
      </w:r>
      <w:r>
        <w:rPr>
          <w:rFonts w:ascii="Times New Roman" w:hAnsi="Times New Roman"/>
          <w:b w:val="false"/>
          <w:i w:val="false"/>
          <w:color w:val="000000"/>
          <w:sz w:val="22"/>
        </w:rPr>
        <w:t xml:space="preserve">Districts will utilize research-based educational and instructional models as defined in rule </w:t>
      </w:r>
      <w:hyperlink r:id="rId12">
        <w:r>
          <w:rPr>
            <w:rStyle w:val="Hyperlink"/>
            <w:rFonts w:ascii="Times New Roman" w:hAnsi="Times New Roman"/>
            <w:b w:val="false"/>
            <w:i w:val="false"/>
            <w:color w:val="000000"/>
            <w:sz w:val="22"/>
          </w:rPr>
          <w:t>281—60.1(280)</w:t>
        </w:r>
      </w:hyperlink>
      <w:r>
        <w:rPr>
          <w:rFonts w:ascii="Times New Roman" w:hAnsi="Times New Roman"/>
          <w:b w:val="false"/>
          <w:i w:val="false"/>
          <w:color w:val="000000"/>
          <w:sz w:val="22"/>
        </w:rPr>
        <w:t xml:space="preserve"> with English learners so that such students may acquire English proficiency and meet high academic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281—60.3</w:t>
      </w:r>
      <w:r>
        <w:rPr>
          <w:rFonts w:ascii="Times New Roman" w:hAnsi="Times New Roman"/>
          <w:b/>
          <w:i w:val="false"/>
          <w:color w:val="000000"/>
          <w:sz w:val="22"/>
        </w:rPr>
        <w:t xml:space="preserve">(280) </w:t>
      </w:r>
      <w:r>
        <w:rPr>
          <w:rFonts w:ascii="Times New Roman" w:hAnsi="Times New Roman"/>
          <w:b/>
          <w:i w:val="false"/>
          <w:color w:val="000000"/>
          <w:sz w:val="22"/>
        </w:rPr>
        <w:t xml:space="preserve">Department responsibility. </w:t>
      </w:r>
      <w:r>
        <w:rPr>
          <w:rFonts w:ascii="Times New Roman" w:hAnsi="Times New Roman"/>
          <w:b w:val="false"/>
          <w:i w:val="false"/>
          <w:color w:val="000000"/>
          <w:sz w:val="22"/>
        </w:rPr>
        <w:t>The department of education will provide technical assistance to school districts, including advising and assisting schools in planning, implementation, and evaluation of programs for English learners.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281—60.4</w:t>
      </w:r>
      <w:r>
        <w:rPr>
          <w:rFonts w:ascii="Times New Roman" w:hAnsi="Times New Roman"/>
          <w:b/>
          <w:i w:val="false"/>
          <w:color w:val="000000"/>
          <w:sz w:val="22"/>
        </w:rPr>
        <w:t xml:space="preserve">(280) </w:t>
      </w:r>
      <w:r>
        <w:rPr>
          <w:rFonts w:ascii="Times New Roman" w:hAnsi="Times New Roman"/>
          <w:b/>
          <w:i w:val="false"/>
          <w:color w:val="000000"/>
          <w:sz w:val="22"/>
        </w:rPr>
        <w:t xml:space="preserve">Nonpublic school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nonpublic school provides services under this chapter; however, the standard for services, if the nonpublic school does not receive services pursuant to subrule </w:t>
      </w:r>
      <w:hyperlink r:id="rId13">
        <w:r>
          <w:rPr>
            <w:rStyle w:val="Hyperlink"/>
            <w:rFonts w:ascii="Times New Roman" w:hAnsi="Times New Roman"/>
            <w:b w:val="false"/>
            <w:i w:val="false"/>
            <w:color w:val="000000"/>
            <w:sz w:val="22"/>
          </w:rPr>
          <w:t>60.4(2)</w:t>
        </w:r>
      </w:hyperlink>
      <w:r>
        <w:rPr>
          <w:rFonts w:ascii="Times New Roman" w:hAnsi="Times New Roman"/>
          <w:b w:val="false"/>
          <w:i w:val="false"/>
          <w:color w:val="000000"/>
          <w:sz w:val="22"/>
        </w:rPr>
        <w:t>, is to make minor adjustments to curriculum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color w:val="000000"/>
          <w:sz w:val="22"/>
        </w:rPr>
        <w:t xml:space="preserve">Public school services. </w:t>
      </w:r>
      <w:r>
        <w:rPr>
          <w:rFonts w:ascii="Times New Roman" w:hAnsi="Times New Roman"/>
          <w:b w:val="false"/>
          <w:i w:val="false"/>
          <w:color w:val="000000"/>
          <w:sz w:val="22"/>
        </w:rPr>
        <w:t xml:space="preserve">English as a second language and transitional bilingual programs offered by a public school district are available to students attending an accredited nonpublic school located within the district. The district obtains funding for such students in accordance with rule </w:t>
      </w:r>
      <w:hyperlink r:id="rId14">
        <w:r>
          <w:rPr>
            <w:rStyle w:val="Hyperlink"/>
            <w:rFonts w:ascii="Times New Roman" w:hAnsi="Times New Roman"/>
            <w:b w:val="false"/>
            <w:i w:val="false"/>
            <w:color w:val="000000"/>
            <w:sz w:val="22"/>
          </w:rPr>
          <w:t>281—60.5(280)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281—60.5</w:t>
      </w:r>
      <w:r>
        <w:rPr>
          <w:rFonts w:ascii="Times New Roman" w:hAnsi="Times New Roman"/>
          <w:b/>
          <w:i w:val="false"/>
          <w:color w:val="000000"/>
          <w:sz w:val="22"/>
        </w:rPr>
        <w:t xml:space="preserve">(280)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color w:val="000000"/>
          <w:sz w:val="22"/>
        </w:rPr>
        <w:t xml:space="preserve">Weighting. </w:t>
      </w:r>
      <w:r>
        <w:rPr>
          <w:rFonts w:ascii="Times New Roman" w:hAnsi="Times New Roman"/>
          <w:b w:val="false"/>
          <w:i w:val="false"/>
          <w:color w:val="000000"/>
          <w:sz w:val="22"/>
        </w:rPr>
        <w:t xml:space="preserve">Weighting for English learners is set forth in Iowa Code section </w:t>
      </w:r>
      <w:hyperlink r:id="rId15">
        <w:r>
          <w:rPr>
            <w:rStyle w:val="Hyperlink"/>
            <w:rFonts w:ascii="Times New Roman" w:hAnsi="Times New Roman"/>
            <w:b w:val="false"/>
            <w:i w:val="false"/>
            <w:color w:val="000000"/>
            <w:sz w:val="22"/>
          </w:rPr>
          <w:t>280.4(3)</w:t>
        </w:r>
      </w:hyperlink>
      <w:r>
        <w:rPr>
          <w:rFonts w:ascii="Times New Roman" w:hAnsi="Times New Roman"/>
          <w:b w:val="false"/>
          <w:i w:val="false"/>
          <w:color w:val="000000"/>
          <w:sz w:val="22"/>
        </w:rPr>
        <w:t>. A student’s eligibility for additional weighting is transferable to another district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color w:val="000000"/>
          <w:sz w:val="22"/>
        </w:rPr>
        <w:t xml:space="preserve">Supplemental aid or modified supplemental amount. </w:t>
      </w:r>
      <w:r>
        <w:rPr>
          <w:rFonts w:ascii="Times New Roman" w:hAnsi="Times New Roman"/>
          <w:b w:val="false"/>
          <w:i w:val="false"/>
          <w:color w:val="000000"/>
          <w:sz w:val="22"/>
        </w:rPr>
        <w:t>In addition to weighting, the school budget review committee (SBRC) may grant supplemental aid or a modified supplemental amount for an unusual need to continue funding beyond the five years of weighting or for costs in excess of the weighting to provide instruction to English learners above the costs of regular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of residence may apply to the SBRC by the date specified in rule </w:t>
      </w:r>
      <w:hyperlink r:id="rId16">
        <w:r>
          <w:rPr>
            <w:rStyle w:val="Hyperlink"/>
            <w:rFonts w:ascii="Times New Roman" w:hAnsi="Times New Roman"/>
            <w:b w:val="false"/>
            <w:i w:val="false"/>
            <w:color w:val="000000"/>
            <w:sz w:val="22"/>
          </w:rPr>
          <w:t>289—6.3(257)</w:t>
        </w:r>
      </w:hyperlink>
      <w:r>
        <w:rPr>
          <w:rFonts w:ascii="Times New Roman" w:hAnsi="Times New Roman"/>
          <w:b w:val="false"/>
          <w:i w:val="false"/>
          <w:color w:val="000000"/>
          <w:sz w:val="22"/>
        </w:rPr>
        <w:t xml:space="preserve"> for supplemental aid or a modified supplemental amount for an unusual need for funding beyond the amount generated from weighting for students identified as English learners who are provided instruction beyond the regular instruction. The eligible supplemental aid or modified supplemental amount will be calculated as the total actual English learner program expenditures for the previous year, reduced by the English learner funding generated in the previous budget year based on the English learner count on the certified enrollment in the previous year, and reduced by any other grants, carryover, or other resources provided to the district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 of residence may apply to the SBRC for supplemental aid or a modified supplemental amount for an unusual need to continue funding beyond the five years of weighting no later than December 1 following the date specified in Iowa Code section </w:t>
      </w:r>
      <w:hyperlink r:id="rId17">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 xml:space="preserve"> for the certified enrollment. The supplemental aid or modified supplemental amount will be calculated by multiplying the number of resident students identified as English learners who are provided instruction beyond the regular instruction, and who are being served beyond the five years of weighting on the certified enrollment, by the weighting provided under subrule </w:t>
      </w:r>
      <w:hyperlink r:id="rId18">
        <w:r>
          <w:rPr>
            <w:rStyle w:val="Hyperlink"/>
            <w:rFonts w:ascii="Times New Roman" w:hAnsi="Times New Roman"/>
            <w:b w:val="false"/>
            <w:i w:val="false"/>
            <w:color w:val="000000"/>
            <w:sz w:val="22"/>
          </w:rPr>
          <w:t>60.5(1)</w:t>
        </w:r>
      </w:hyperlink>
      <w:r>
        <w:rPr>
          <w:rFonts w:ascii="Times New Roman" w:hAnsi="Times New Roman"/>
          <w:b w:val="false"/>
          <w:i w:val="false"/>
          <w:color w:val="000000"/>
          <w:sz w:val="22"/>
        </w:rPr>
        <w:t>, multiplied by the district cost per pupil in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SBRC will act on the requests described in paragraphs </w:t>
      </w:r>
      <w:hyperlink r:id="rId19">
        <w:r>
          <w:rPr>
            <w:rStyle w:val="Hyperlink"/>
            <w:rFonts w:ascii="Times New Roman" w:hAnsi="Times New Roman"/>
            <w:b w:val="false"/>
            <w:i w:val="false"/>
            <w:color w:val="000000"/>
            <w:sz w:val="22"/>
          </w:rPr>
          <w:t>60.5(2)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no later than its March regular meeting. If the SBRC grants the district’s request for supplemental aid or a modified supplemental amount, the department of management will increase the district’s budget authority by that amount.</w:t>
      </w:r>
    </w:p>
    <w:p>
      <w:pPr>
        <w:spacing w:before="0" w:after="0"/>
        <w:ind w:left="120"/>
        <w:jc w:val="both"/>
      </w:pPr>
      <w:r>
        <w:rPr>
          <w:rFonts w:ascii="Times New Roman" w:hAnsi="Times New Roman"/>
          <w:b w:val="false"/>
          <w:i w:val="false"/>
          <w:color w:val="000000"/>
          <w:sz w:val="22"/>
        </w:rPr>
        <w:t>The SBRC may require the district to appear at a hearing to discuss its request for supplemental aid or a modified supplemental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English learner funding is categorical funding and follows the general provisions in </w:t>
      </w:r>
      <w:hyperlink r:id="rId20">
        <w:r>
          <w:rPr>
            <w:rStyle w:val="Hyperlink"/>
            <w:rFonts w:ascii="Times New Roman" w:hAnsi="Times New Roman"/>
            <w:b w:val="false"/>
            <w:i w:val="false"/>
            <w:color w:val="000000"/>
            <w:sz w:val="22"/>
          </w:rPr>
          <w:t>281—Chapter 98</w:t>
        </w:r>
      </w:hyperlink>
      <w:r>
        <w:rPr>
          <w:rFonts w:ascii="Times New Roman" w:hAnsi="Times New Roman"/>
          <w:b w:val="false"/>
          <w:i w:val="false"/>
          <w:color w:val="000000"/>
          <w:sz w:val="22"/>
        </w:rPr>
        <w:t xml:space="preserve">. Appropriate expenditures for the English learner program are those that are direct costs of providing instruction that supplement, but do not supplant, the costs of the regular curriculum. Appropriate and inappropriate expenditures are set forth in </w:t>
      </w:r>
      <w:hyperlink r:id="rId21">
        <w:r>
          <w:rPr>
            <w:rStyle w:val="Hyperlink"/>
            <w:rFonts w:ascii="Times New Roman" w:hAnsi="Times New Roman"/>
            <w:b w:val="false"/>
            <w:i w:val="false"/>
            <w:color w:val="000000"/>
            <w:sz w:val="22"/>
          </w:rPr>
          <w:t>281—Chapter 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Districts will include and identify the detail of financial transactions related to English learner resources, expenditures, and carryforward balances on their certified annual report, using the account coding appropriate to the English learner program as defined by the Uniform Financial Accounting Manual for Iowa LEAs and AEAs, in effect on January 31, 2024. Each district submits its certified annual report following the close of the fiscal year but no later than September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(31)</w:t>
      </w:r>
      <w:r>
        <w:rPr>
          <w:rFonts w:ascii="Times New Roman" w:hAnsi="Times New Roman"/>
          <w:b w:val="false"/>
          <w:i/>
          <w:color w:val="000000"/>
          <w:sz w:val="22"/>
        </w:rPr>
        <w:t>“c,”</w:t>
      </w:r>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(5)</w:t>
      </w:r>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280.4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9/12/80, Notice 5/28/80—published 10/1/80, effective 11/5/80]</w:t>
      </w:r>
    </w:p>
    <w:p>
      <w:pPr>
        <w:spacing w:before="0" w:after="0"/>
        <w:ind w:left="120"/>
        <w:jc w:val="center"/>
      </w:pPr>
      <w:r>
        <w:rPr>
          <w:rFonts w:ascii="Times New Roman" w:hAnsi="Times New Roman"/>
          <w:b w:val="false"/>
          <w:i w:val="false"/>
          <w:color w:val="000000"/>
          <w:sz w:val="21"/>
        </w:rPr>
        <w:t>[Filed 1/16/81, Notice 11/12/80—published 2/4/81, effective 3/11/81]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1/14/94, Notice 9/29/93—published 2/2/94, effective 3/9/94]</w:t>
      </w:r>
    </w:p>
    <w:p>
      <w:pPr>
        <w:spacing w:before="0" w:after="0"/>
        <w:ind w:left="120"/>
        <w:jc w:val="center"/>
      </w:pPr>
      <w:r>
        <w:rPr>
          <w:rFonts w:ascii="Times New Roman" w:hAnsi="Times New Roman"/>
          <w:b w:val="false"/>
          <w:i w:val="false"/>
          <w:color w:val="000000"/>
          <w:sz w:val="21"/>
        </w:rPr>
        <w:t>[Filed ARC 8383B</w:t>
      </w:r>
      <w:r>
        <w:rPr>
          <w:rFonts w:ascii="Times New Roman" w:hAnsi="Times New Roman"/>
          <w:b w:val="false"/>
          <w:i w:val="false"/>
          <w:color w:val="000000"/>
          <w:sz w:val="21"/>
        </w:rPr>
        <w:t xml:space="preserve"> (Notice ARC 8051B,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1776C</w:t>
      </w:r>
      <w:r>
        <w:rPr>
          <w:rFonts w:ascii="Times New Roman" w:hAnsi="Times New Roman"/>
          <w:b w:val="false"/>
          <w:i w:val="false"/>
          <w:color w:val="000000"/>
          <w:sz w:val="21"/>
        </w:rPr>
        <w:t xml:space="preserve"> (Notice ARC 1675C,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4528C</w:t>
      </w:r>
      <w:r>
        <w:rPr>
          <w:rFonts w:ascii="Times New Roman" w:hAnsi="Times New Roman"/>
          <w:b w:val="false"/>
          <w:i w:val="false"/>
          <w:color w:val="000000"/>
          <w:sz w:val="21"/>
        </w:rPr>
        <w:t xml:space="preserve"> (Notice ARC 4403C,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5648C</w:t>
      </w:r>
      <w:r>
        <w:rPr>
          <w:rFonts w:ascii="Times New Roman" w:hAnsi="Times New Roman"/>
          <w:b w:val="false"/>
          <w:i w:val="false"/>
          <w:color w:val="000000"/>
          <w:sz w:val="21"/>
        </w:rPr>
        <w:t xml:space="preserve"> (Notice ARC 5464C,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6079C</w:t>
      </w:r>
      <w:r>
        <w:rPr>
          <w:rFonts w:ascii="Times New Roman" w:hAnsi="Times New Roman"/>
          <w:b w:val="false"/>
          <w:i w:val="false"/>
          <w:color w:val="000000"/>
          <w:sz w:val="21"/>
        </w:rPr>
        <w:t xml:space="preserve"> (Notice ARC 5876C, IAB 8/25/21)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7424C</w:t>
      </w:r>
      <w:r>
        <w:rPr>
          <w:rFonts w:ascii="Times New Roman" w:hAnsi="Times New Roman"/>
          <w:b w:val="false"/>
          <w:i w:val="false"/>
          <w:color w:val="000000"/>
          <w:sz w:val="21"/>
        </w:rPr>
        <w:t xml:space="preserve"> (Notice ARC 7086C,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4.pdf" Type="http://schemas.openxmlformats.org/officeDocument/2006/relationships/hyperlink" Id="rId5"/>
    <Relationship TargetMode="External" Target="https://www.legis.iowa.gov/docs/ico/chapter/280.4.pdf" Type="http://schemas.openxmlformats.org/officeDocument/2006/relationships/hyperlink" Id="rId6"/>
    <Relationship TargetMode="External" Target="https://www.legis.iowa.gov/docs/ico/chapter/280.4.pdf" Type="http://schemas.openxmlformats.org/officeDocument/2006/relationships/hyperlink" Id="rId7"/>
    <Relationship TargetMode="External" Target="https://www.legis.iowa.gov/docs/ico/chapter/280.4.pdf" Type="http://schemas.openxmlformats.org/officeDocument/2006/relationships/hyperlink" Id="rId8"/>
    <Relationship TargetMode="External" Target="https://www.legis.iowa.gov/docs/iac/rule/281.60.1.pdf" Type="http://schemas.openxmlformats.org/officeDocument/2006/relationships/hyperlink" Id="rId9"/>
    <Relationship TargetMode="External" Target="https://www.legis.iowa.gov/docs/iac/chapter/281.83.pdf" Type="http://schemas.openxmlformats.org/officeDocument/2006/relationships/hyperlink" Id="rId10"/>
    <Relationship TargetMode="External" Target="https://www.legis.iowa.gov/docs/iac/chapter/281.83.pdf" Type="http://schemas.openxmlformats.org/officeDocument/2006/relationships/hyperlink" Id="rId11"/>
    <Relationship TargetMode="External" Target="https://www.legis.iowa.gov/docs/iac/rule/281.60.1.pdf" Type="http://schemas.openxmlformats.org/officeDocument/2006/relationships/hyperlink" Id="rId12"/>
    <Relationship TargetMode="External" Target="https://www.legis.iowa.gov/docs/iac/rule/281.60.4.pdf" Type="http://schemas.openxmlformats.org/officeDocument/2006/relationships/hyperlink" Id="rId13"/>
    <Relationship TargetMode="External" Target="https://www.legis.iowa.gov/docs/iac/rule/281.60.5.pdf" Type="http://schemas.openxmlformats.org/officeDocument/2006/relationships/hyperlink" Id="rId14"/>
    <Relationship TargetMode="External" Target="https://www.legis.iowa.gov/docs/ico/chapter/280.4.pdf" Type="http://schemas.openxmlformats.org/officeDocument/2006/relationships/hyperlink" Id="rId15"/>
    <Relationship TargetMode="External" Target="https://www.legis.iowa.gov/docs/iac/rule/289.6.3.pdf" Type="http://schemas.openxmlformats.org/officeDocument/2006/relationships/hyperlink" Id="rId16"/>
    <Relationship TargetMode="External" Target="https://www.legis.iowa.gov/docs/ico/chapter/257.6.pdf" Type="http://schemas.openxmlformats.org/officeDocument/2006/relationships/hyperlink" Id="rId17"/>
    <Relationship TargetMode="External" Target="https://www.legis.iowa.gov/docs/iac/rule/281.60.5.pdf" Type="http://schemas.openxmlformats.org/officeDocument/2006/relationships/hyperlink" Id="rId18"/>
    <Relationship TargetMode="External" Target="https://www.legis.iowa.gov/docs/iac/rule/281.60.5.pdf" Type="http://schemas.openxmlformats.org/officeDocument/2006/relationships/hyperlink" Id="rId19"/>
    <Relationship TargetMode="External" Target="https://www.legis.iowa.gov/docs/iac/chapter/281.98.pdf" Type="http://schemas.openxmlformats.org/officeDocument/2006/relationships/hyperlink" Id="rId20"/>
    <Relationship TargetMode="External" Target="https://www.legis.iowa.gov/docs/iac/chapter/281.98.pdf" Type="http://schemas.openxmlformats.org/officeDocument/2006/relationships/hyperlink" Id="rId21"/>
    <Relationship TargetMode="External" Target="https://www.legis.iowa.gov/docs/ico/chapter/256.7.pdf" Type="http://schemas.openxmlformats.org/officeDocument/2006/relationships/hyperlink" Id="rId22"/>
    <Relationship TargetMode="External" Target="https://www.legis.iowa.gov/docs/ico/chapter/257.31.pdf" Type="http://schemas.openxmlformats.org/officeDocument/2006/relationships/hyperlink" Id="rId23"/>
    <Relationship TargetMode="External" Target="https://www.legis.iowa.gov/docs/ico/chapter/280.4.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