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59</w:t>
      </w:r>
    </w:p>
    <w:p>
      <w:pPr>
        <w:spacing w:before="0" w:after="0"/>
        <w:ind w:left="120"/>
        <w:jc w:val="center"/>
      </w:pPr>
      <w:r>
        <w:rPr>
          <w:rFonts w:ascii="Times New Roman" w:hAnsi="Times New Roman"/>
          <w:b w:val="false"/>
          <w:i w:val="false"/>
          <w:color w:val="000000"/>
          <w:sz w:val="21"/>
        </w:rPr>
        <w:t>GIFTED AND TALENTED PROGRAMS</w:t>
      </w:r>
    </w:p>
    <w:p>
      <w:pPr>
        <w:spacing w:before="0" w:after="0"/>
        <w:ind w:left="120"/>
        <w:jc w:val="center"/>
      </w:pPr>
      <w:r>
        <w:rPr>
          <w:rFonts w:ascii="Times New Roman" w:hAnsi="Times New Roman"/>
          <w:b w:val="false"/>
          <w:i w:val="false"/>
          <w:color w:val="000000"/>
          <w:sz w:val="14"/>
        </w:rPr>
        <w:t>[Prior to 9/7/88, see Public Instruction Department[670] Ch 56]</w:t>
      </w:r>
    </w:p>
    <w:p>
      <w:pPr>
        <w:spacing w:before="0" w:after="0"/>
        <w:ind w:left="120"/>
        <w:jc w:val="center"/>
      </w:pPr>
      <w:r>
        <w:rPr>
          <w:rFonts w:ascii="Times New Roman" w:hAnsi="Times New Roman"/>
          <w:b w:val="false"/>
          <w:i w:val="false"/>
          <w:color w:val="000000"/>
          <w:sz w:val="14"/>
        </w:rPr>
        <w:t>[Former Ch 59 Rescinded IAB 9/7/88]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281—59.1</w:t>
      </w:r>
      <w:r>
        <w:rPr>
          <w:rFonts w:ascii="Times New Roman" w:hAnsi="Times New Roman"/>
          <w:b/>
          <w:i w:val="false"/>
          <w:color w:val="000000"/>
          <w:sz w:val="22"/>
        </w:rPr>
        <w:t xml:space="preserve">(257) </w:t>
      </w:r>
      <w:r>
        <w:rPr>
          <w:rFonts w:ascii="Times New Roman" w:hAnsi="Times New Roman"/>
          <w:b/>
          <w:i w:val="false"/>
          <w:color w:val="000000"/>
          <w:sz w:val="22"/>
        </w:rPr>
        <w:t xml:space="preserve">General principles. </w:t>
      </w:r>
      <w:r>
        <w:rPr>
          <w:rFonts w:ascii="Times New Roman" w:hAnsi="Times New Roman"/>
          <w:b w:val="false"/>
          <w:i w:val="false"/>
          <w:color w:val="000000"/>
          <w:sz w:val="22"/>
        </w:rPr>
        <w:t>Gifted and talented programs shall be provided by a school district and may be made available to eligible students as a cooperative effort between school districts or through cooperative arrangements between school districts and other educational agencies. It is the responsibility of school districts to ensure that the programs comply with state statute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281—59.2</w:t>
      </w:r>
      <w:r>
        <w:rPr>
          <w:rFonts w:ascii="Times New Roman" w:hAnsi="Times New Roman"/>
          <w:b/>
          <w:i w:val="false"/>
          <w:color w:val="000000"/>
          <w:sz w:val="22"/>
        </w:rPr>
        <w:t xml:space="preserve">(257)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“Gifted and talented students” </w:t>
      </w:r>
      <w:r>
        <w:rPr>
          <w:rFonts w:ascii="Times New Roman" w:hAnsi="Times New Roman"/>
          <w:b w:val="false"/>
          <w:i w:val="false"/>
          <w:color w:val="000000"/>
          <w:sz w:val="22"/>
        </w:rPr>
        <w:t xml:space="preserve">means the same as “gifted and talented children” as defined in Iowa Code section </w:t>
      </w:r>
      <w:hyperlink r:id="rId5">
        <w:r>
          <w:rPr>
            <w:rStyle w:val="Hyperlink"/>
            <w:rFonts w:ascii="Times New Roman" w:hAnsi="Times New Roman"/>
            <w:b w:val="false"/>
            <w:i w:val="false"/>
            <w:color w:val="000000"/>
            <w:sz w:val="22"/>
          </w:rPr>
          <w:t>257.44</w:t>
        </w:r>
      </w:hyperlink>
      <w:r>
        <w:rPr>
          <w:rFonts w:ascii="Times New Roman" w:hAnsi="Times New Roman"/>
          <w:b w:val="false"/>
          <w:i w:val="false"/>
          <w:color w:val="000000"/>
          <w:sz w:val="22"/>
        </w:rPr>
        <w:t>. For purposes of that section,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“Creative thinking” refers to students who have advanced insight, outstanding imagination and innovative reasoning ability. Such students possess outstanding ability to integrate seemingly unrelated information in formulating unique ideas, insights, solutions, or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intellectual ability” refers to students who can learn at a faster pace, master higher levels of content and handle abstract concepts at a significantly higher level than expected, given the student’s chronological age and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“Leadership ability” refers to those students who possess outstanding potential or demonstrated ability to exercise influence on decision making. These students may be consistently recognized by their peers, may demonstrate leadership behavior through school and nonschool activities or may evidence personal skills and abilities that are characteristic of effective leaders.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ability aptitude” refers to those students who have exceptionally high achievement or potential and a high degree of interest in a specific field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“Visual or performing arts ability” refers to students who demonstrate or indicate potential for outstanding aesthetic production or creativity in areas such as art, dance, music, drama, and media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budget” </w:t>
      </w:r>
      <w:r>
        <w:rPr>
          <w:rFonts w:ascii="Times New Roman" w:hAnsi="Times New Roman"/>
          <w:b w:val="false"/>
          <w:i w:val="false"/>
          <w:color w:val="000000"/>
          <w:sz w:val="22"/>
        </w:rPr>
        <w:t>is a budget consisting of a listing of the estimated direct program expenditures, by function and object, that are necessary to accomplish the goals of the program in meeting the needs of identified students, along with a listing of the sources of revenue and, if necessary, the amounts of fund balance to be applied.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281—59.3</w:t>
      </w:r>
      <w:r>
        <w:rPr>
          <w:rFonts w:ascii="Times New Roman" w:hAnsi="Times New Roman"/>
          <w:b/>
          <w:i w:val="false"/>
          <w:color w:val="000000"/>
          <w:sz w:val="22"/>
        </w:rPr>
        <w:t xml:space="preserve">(257) </w:t>
      </w:r>
      <w:r>
        <w:rPr>
          <w:rFonts w:ascii="Times New Roman" w:hAnsi="Times New Roman"/>
          <w:b/>
          <w:i w:val="false"/>
          <w:color w:val="000000"/>
          <w:sz w:val="22"/>
        </w:rPr>
        <w:t xml:space="preserve">Program plan. </w:t>
      </w:r>
      <w:r>
        <w:rPr>
          <w:rFonts w:ascii="Times New Roman" w:hAnsi="Times New Roman"/>
          <w:b w:val="false"/>
          <w:i w:val="false"/>
          <w:color w:val="000000"/>
          <w:sz w:val="22"/>
        </w:rPr>
        <w:t xml:space="preserve">The program plan submitted by school districts will include the elements set forth in Iowa Code section </w:t>
      </w:r>
      <w:hyperlink r:id="rId6">
        <w:r>
          <w:rPr>
            <w:rStyle w:val="Hyperlink"/>
            <w:rFonts w:ascii="Times New Roman" w:hAnsi="Times New Roman"/>
            <w:b w:val="false"/>
            <w:i w:val="false"/>
            <w:color w:val="000000"/>
            <w:sz w:val="22"/>
          </w:rPr>
          <w:t>257.43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281—59.4</w:t>
      </w:r>
      <w:r>
        <w:rPr>
          <w:rFonts w:ascii="Times New Roman" w:hAnsi="Times New Roman"/>
          <w:b/>
          <w:i w:val="false"/>
          <w:color w:val="000000"/>
          <w:sz w:val="22"/>
        </w:rPr>
        <w:t xml:space="preserve">(257) </w:t>
      </w:r>
      <w:r>
        <w:rPr>
          <w:rFonts w:ascii="Times New Roman" w:hAnsi="Times New Roman"/>
          <w:b/>
          <w:i w:val="false"/>
          <w:color w:val="000000"/>
          <w:sz w:val="22"/>
        </w:rPr>
        <w:t xml:space="preserve">Responsibilities of school districts. </w:t>
      </w:r>
      <w:r>
        <w:rPr>
          <w:rFonts w:ascii="Times New Roman" w:hAnsi="Times New Roman"/>
          <w:b w:val="false"/>
          <w:i w:val="false"/>
          <w:color w:val="000000"/>
          <w:sz w:val="22"/>
        </w:rPr>
        <w:t>A school district’s program under this chapter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59.4(1)</w:t>
      </w:r>
      <w:r>
        <w:rPr>
          <w:rFonts w:ascii="Times New Roman" w:hAnsi="Times New Roman"/>
          <w:b w:val="false"/>
          <w:i w:val="false"/>
          <w:color w:val="000000"/>
          <w:sz w:val="22"/>
        </w:rPr>
        <w:t> </w:t>
      </w:r>
      <w:r>
        <w:rPr>
          <w:rFonts w:ascii="Times New Roman" w:hAnsi="Times New Roman"/>
          <w:b w:val="false"/>
          <w:i/>
          <w:color w:val="000000"/>
          <w:sz w:val="22"/>
        </w:rPr>
        <w:t xml:space="preserve">Development of goals and objectives. </w:t>
      </w:r>
      <w:r>
        <w:rPr>
          <w:rFonts w:ascii="Times New Roman" w:hAnsi="Times New Roman"/>
          <w:b w:val="false"/>
          <w:i w:val="false"/>
          <w:color w:val="000000"/>
          <w:sz w:val="22"/>
        </w:rPr>
        <w:t>A school district will establish goals and objectives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Curriculum and instructional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 management and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59.4(2)</w:t>
      </w:r>
      <w:r>
        <w:rPr>
          <w:rFonts w:ascii="Times New Roman" w:hAnsi="Times New Roman"/>
          <w:b w:val="false"/>
          <w:i w:val="false"/>
          <w:color w:val="000000"/>
          <w:sz w:val="22"/>
        </w:rPr>
        <w:t> </w:t>
      </w:r>
      <w:r>
        <w:rPr>
          <w:rFonts w:ascii="Times New Roman" w:hAnsi="Times New Roman"/>
          <w:b w:val="false"/>
          <w:i/>
          <w:color w:val="000000"/>
          <w:sz w:val="22"/>
        </w:rPr>
        <w:t xml:space="preserve">Development of curriculum and instructional strategies. </w:t>
      </w:r>
      <w:r>
        <w:rPr>
          <w:rFonts w:ascii="Times New Roman" w:hAnsi="Times New Roman"/>
          <w:b w:val="false"/>
          <w:i w:val="false"/>
          <w:color w:val="000000"/>
          <w:sz w:val="22"/>
        </w:rPr>
        <w:t>The program of instruction will consist of content and teaching strategies that reflect the accelerative pace, intellectual processes and creative abilities that characterize gifted and talented students. A linkage among the selection of students, the anticipated student outcomes and the special instructional programs will be evident. Learning activities will provide for the development of skills that are beyond the scope of the regular classroom, introduce advanced concepts and contents, and offer students a greater latitude of inquiry than would be possible without the specialized instructional program. Specialized instructional activities are those not ordinarily found in the regular school program and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special curriculum supplementing the regular curriculum, using a high level of cognitive and affective concepts and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Flexible instructional arrangements, such as special classes, seminars, resource rooms, independent study, student internships, mentorships, research field trips, and research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59.4(3)</w:t>
      </w:r>
      <w:r>
        <w:rPr>
          <w:rFonts w:ascii="Times New Roman" w:hAnsi="Times New Roman"/>
          <w:b w:val="false"/>
          <w:i w:val="false"/>
          <w:color w:val="000000"/>
          <w:sz w:val="22"/>
        </w:rPr>
        <w:t> </w:t>
      </w:r>
      <w:r>
        <w:rPr>
          <w:rFonts w:ascii="Times New Roman" w:hAnsi="Times New Roman"/>
          <w:b w:val="false"/>
          <w:i/>
          <w:color w:val="000000"/>
          <w:sz w:val="22"/>
        </w:rPr>
        <w:t xml:space="preserve">Student enrollment. </w:t>
      </w:r>
      <w:r>
        <w:rPr>
          <w:rFonts w:ascii="Times New Roman" w:hAnsi="Times New Roman"/>
          <w:b w:val="false"/>
          <w:i w:val="false"/>
          <w:color w:val="000000"/>
          <w:sz w:val="22"/>
        </w:rPr>
        <w:t>Students will be involved in a gifted and talented program for a sufficient portion of the regularly scheduled school time to ensure that projected student outcomes are likely to be achieved.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59.4(4)</w:t>
      </w:r>
      <w:r>
        <w:rPr>
          <w:rFonts w:ascii="Times New Roman" w:hAnsi="Times New Roman"/>
          <w:b w:val="false"/>
          <w:i w:val="false"/>
          <w:color w:val="000000"/>
          <w:sz w:val="22"/>
        </w:rPr>
        <w:t> </w:t>
      </w:r>
      <w:r>
        <w:rPr>
          <w:rFonts w:ascii="Times New Roman" w:hAnsi="Times New Roman"/>
          <w:b w:val="false"/>
          <w:i/>
          <w:color w:val="000000"/>
          <w:sz w:val="22"/>
        </w:rPr>
        <w:t xml:space="preserve">Personalized education plan. </w:t>
      </w:r>
      <w:r>
        <w:rPr>
          <w:rFonts w:ascii="Times New Roman" w:hAnsi="Times New Roman"/>
          <w:b w:val="false"/>
          <w:i w:val="false"/>
          <w:color w:val="000000"/>
          <w:sz w:val="22"/>
        </w:rPr>
        <w:t>Best practice dictates that the services provided for each student placed in a gifted and talented program be contained in a written, personalized gifted and talented plan. Personalized education plans should be in writing and reviewed at periodic intervals in accordance with the changing needs of the student. The following items are suggested for inclusion in a student’s personalized education plan, but this is neither a mandatory nor an exhaustive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Relevant background data, assessment of present needs and projections for future needs. Relevant information may include the student’s leadership ability, interest inventories, learning characteristics, and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the gifted and talented services provided to the student, including indirect services, such as consultative services or other supportive assistance provided to a regular classroom teacher. Other services may include modifications to curriculum and acceleration of the student’s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responsible for the services provided to the student, as well as those responsible for monitoring and evaluating the student’s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59.4(5)</w:t>
      </w:r>
      <w:r>
        <w:rPr>
          <w:rFonts w:ascii="Times New Roman" w:hAnsi="Times New Roman"/>
          <w:b w:val="false"/>
          <w:i w:val="false"/>
          <w:color w:val="000000"/>
          <w:sz w:val="22"/>
        </w:rPr>
        <w:t> </w:t>
      </w:r>
      <w:r>
        <w:rPr>
          <w:rFonts w:ascii="Times New Roman" w:hAnsi="Times New Roman"/>
          <w:b w:val="false"/>
          <w:i/>
          <w:color w:val="000000"/>
          <w:sz w:val="22"/>
        </w:rPr>
        <w:t xml:space="preserve">Student identification criteria and procedures. </w:t>
      </w:r>
      <w:r>
        <w:rPr>
          <w:rFonts w:ascii="Times New Roman" w:hAnsi="Times New Roman"/>
          <w:b w:val="false"/>
          <w:i w:val="false"/>
          <w:color w:val="000000"/>
          <w:sz w:val="22"/>
        </w:rPr>
        <w:t>Students will be placed in a gifted and talented program in accordance with systematic and uniform identification procedures that encompass all grade levels and that are characterized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will be for the purpose of determining the appropriateness of placement in a gifted and talented program, rather than for categorically labeling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to provide a student with a gifted and talented program will be based on a comprehensive appraisal of the student, consideration of the nature of the available gifted and talented program and an assessment of actual and potential opportunities within the student’s regular school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Multiple criteria will be used in identifying a student, with no single criteria eliminating a student from participation. Criteria will combine subjective and objective data, including data with direct relevance to program goals, objectives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that the number of eligible students exceeds the available openings, participants will be selected according to the extent to which they can benefit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identified student’s progress will be reviewed at least annually to consider modifications in program or student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59.4(6)</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The school district will give attention to the following in its evaluation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Evaluation of gifted and talented programs will be for the purpose of measuring program effects and providing information for program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Evaluation should be conducted for each program level where objectives have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Both cognitive and affective components of student development should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Evaluation findings should report results based on actual accomplishments by the gifted and talented students or their teachers, which are a direct result of the project, program,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59.4(7)</w:t>
      </w:r>
      <w:r>
        <w:rPr>
          <w:rFonts w:ascii="Times New Roman" w:hAnsi="Times New Roman"/>
          <w:b w:val="false"/>
          <w:i w:val="false"/>
          <w:color w:val="000000"/>
          <w:sz w:val="22"/>
        </w:rPr>
        <w:t> </w:t>
      </w:r>
      <w:r>
        <w:rPr>
          <w:rFonts w:ascii="Times New Roman" w:hAnsi="Times New Roman"/>
          <w:b w:val="false"/>
          <w:i/>
          <w:color w:val="000000"/>
          <w:sz w:val="22"/>
        </w:rPr>
        <w:t xml:space="preserve">Staff utilization plan. </w:t>
      </w:r>
      <w:r>
        <w:rPr>
          <w:rFonts w:ascii="Times New Roman" w:hAnsi="Times New Roman"/>
          <w:b w:val="false"/>
          <w:i w:val="false"/>
          <w:color w:val="000000"/>
          <w:sz w:val="22"/>
        </w:rPr>
        <w:t>Staff will be deployed to ensure quality gifted and talented programs by employing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designated staff person will be responsible for the overall program coordination throughout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teaching staff of the gifted and talented program should work with the regular classroom teachers to assess, plan, carry out instruction, and evaluate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Coordination time will be made available to staff providing gifted and talented programs to allow staff to perform professional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59.4(8)</w:t>
      </w:r>
      <w:r>
        <w:rPr>
          <w:rFonts w:ascii="Times New Roman" w:hAnsi="Times New Roman"/>
          <w:b w:val="false"/>
          <w:i w:val="false"/>
          <w:color w:val="000000"/>
          <w:sz w:val="22"/>
        </w:rPr>
        <w:t> </w:t>
      </w:r>
      <w:r>
        <w:rPr>
          <w:rFonts w:ascii="Times New Roman" w:hAnsi="Times New Roman"/>
          <w:b w:val="false"/>
          <w:i/>
          <w:color w:val="000000"/>
          <w:sz w:val="22"/>
        </w:rPr>
        <w:t xml:space="preserve">Staff professional development. </w:t>
      </w:r>
      <w:r>
        <w:rPr>
          <w:rFonts w:ascii="Times New Roman" w:hAnsi="Times New Roman"/>
          <w:b w:val="false"/>
          <w:i w:val="false"/>
          <w:color w:val="000000"/>
          <w:sz w:val="22"/>
        </w:rPr>
        <w:t>Periodic professional development will be offered for all classroom teachers to maintain and update understandings and skills about individualizing programs for identified gifted and talented students. A staff development plan for personnel responsible for gifted and talented programs will be provided and will be based upon the assessed needs of the gifted and talented instructional and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59.4(9)</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personnel. </w:t>
      </w:r>
      <w:r>
        <w:rPr>
          <w:rFonts w:ascii="Times New Roman" w:hAnsi="Times New Roman"/>
          <w:b w:val="false"/>
          <w:i w:val="false"/>
          <w:color w:val="000000"/>
          <w:sz w:val="22"/>
        </w:rPr>
        <w:t>Instructional personnel providing programs for gifted and talented students should have preservice or in-service preparation in gifted and talented education that is commensurate with the extent of their involvement in the gifted and talented program. The gifted and talented program teacher-coordinator will hold an endorsement allowing the holder to serve as a teacher or a coordinator of programs for gifted and talented students from the prekindergarten level through grade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59.4(10)</w:t>
      </w:r>
      <w:r>
        <w:rPr>
          <w:rFonts w:ascii="Times New Roman" w:hAnsi="Times New Roman"/>
          <w:b w:val="false"/>
          <w:i w:val="false"/>
          <w:color w:val="000000"/>
          <w:sz w:val="22"/>
        </w:rPr>
        <w:t> </w:t>
      </w:r>
      <w:r>
        <w:rPr>
          <w:rFonts w:ascii="Times New Roman" w:hAnsi="Times New Roman"/>
          <w:b w:val="false"/>
          <w:i/>
          <w:color w:val="000000"/>
          <w:sz w:val="22"/>
        </w:rPr>
        <w:t xml:space="preserve">Fiscal and accountability principles.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programs are jointly provided by two or more school districts or by a school district in cooperation with another educational agency, the budget will specify how each cooperating school district or agency will determine the portion of the program costs to be provided by each school district or agency and will provide a budget that specifies the contribution of each school district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Gifted and talented categorical funding will be used only for expenditures directly related to providing the gifted and talented program described in the program plan. Appropriate expenditures, inappropriate expenditures, and financial management provisions are set forth in </w:t>
      </w:r>
      <w:hyperlink r:id="rId7">
        <w:r>
          <w:rPr>
            <w:rStyle w:val="Hyperlink"/>
            <w:rFonts w:ascii="Times New Roman" w:hAnsi="Times New Roman"/>
            <w:b w:val="false"/>
            <w:i w:val="false"/>
            <w:color w:val="000000"/>
            <w:sz w:val="22"/>
          </w:rPr>
          <w:t>281—Chapter 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 districts will include and identify the detail of financial transactions related to gifted and talented resources, expenditures, and carryforward balances on their certified annual report, using the account coding appropriate to the gifted and talented program as defined by Uniform Financial Accounting for Iowa LEAs and AEAs, as effective on January 31, 2024. Each school district will certify its certified annual report following the close of the fiscal year but no later than September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281—59.5</w:t>
      </w:r>
      <w:r>
        <w:rPr>
          <w:rFonts w:ascii="Times New Roman" w:hAnsi="Times New Roman"/>
          <w:b/>
          <w:i w:val="false"/>
          <w:color w:val="000000"/>
          <w:sz w:val="22"/>
        </w:rPr>
        <w:t xml:space="preserve">(257) </w:t>
      </w:r>
      <w:r>
        <w:rPr>
          <w:rFonts w:ascii="Times New Roman" w:hAnsi="Times New Roman"/>
          <w:b/>
          <w:i w:val="false"/>
          <w:color w:val="000000"/>
          <w:sz w:val="22"/>
        </w:rPr>
        <w:t xml:space="preserve">Responsibilities of area education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written request is received from one or more local school boards, an area education agency will establish and operate a gifted and talented children advisory council under Iowa Code sections </w:t>
      </w:r>
      <w:hyperlink r:id="rId8">
        <w:r>
          <w:rPr>
            <w:rStyle w:val="Hyperlink"/>
            <w:rFonts w:ascii="Times New Roman" w:hAnsi="Times New Roman"/>
            <w:b w:val="false"/>
            <w:i w:val="false"/>
            <w:color w:val="000000"/>
            <w:sz w:val="22"/>
          </w:rPr>
          <w:t>257.48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257.49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59.5(2)</w:t>
      </w:r>
      <w:r>
        <w:rPr>
          <w:rFonts w:ascii="Times New Roman" w:hAnsi="Times New Roman"/>
          <w:b w:val="false"/>
          <w:i w:val="false"/>
          <w:color w:val="000000"/>
          <w:sz w:val="22"/>
        </w:rPr>
        <w:t> </w:t>
      </w:r>
      <w:r>
        <w:rPr>
          <w:rFonts w:ascii="Times New Roman" w:hAnsi="Times New Roman"/>
          <w:b w:val="false"/>
          <w:i w:val="false"/>
          <w:color w:val="000000"/>
          <w:sz w:val="22"/>
        </w:rPr>
        <w:t>Staff of the area education agency will cooperate with school districts in the identification and placement of gifted and talented students. Cooperation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Assisting local school district personnel in the interpretation of available student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in the development of the identification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Providing for psychological testing in individual cases when available data contains significant inconsistencies or in other circumstances when additional data may be necessary for determining the appropriateness of the student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281—59.6</w:t>
      </w:r>
      <w:r>
        <w:rPr>
          <w:rFonts w:ascii="Times New Roman" w:hAnsi="Times New Roman"/>
          <w:b/>
          <w:i w:val="false"/>
          <w:color w:val="000000"/>
          <w:sz w:val="22"/>
        </w:rPr>
        <w:t xml:space="preserve">(257) </w:t>
      </w:r>
      <w:r>
        <w:rPr>
          <w:rFonts w:ascii="Times New Roman" w:hAnsi="Times New Roman"/>
          <w:b/>
          <w:i w:val="false"/>
          <w:color w:val="000000"/>
          <w:sz w:val="22"/>
        </w:rPr>
        <w:t xml:space="preserve">Responsibilities of the department. </w:t>
      </w:r>
      <w:r>
        <w:rPr>
          <w:rFonts w:ascii="Times New Roman" w:hAnsi="Times New Roman"/>
          <w:b w:val="false"/>
          <w:i w:val="false"/>
          <w:color w:val="000000"/>
          <w:sz w:val="22"/>
        </w:rPr>
        <w:t>The department will review documentation submitted by school districts and area education agencies regarding the school districts’ and area education agencies’ gifted and talented programs and financial transactions. The department may request that the staff of the auditor of state conduct an independent program audit to verify that the gifted and talented programs conform to a school district’s program plans. The department will provide technical assistance to school districts and to area education agencies in the development of gifted and talented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257.42 through 257.49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2/9/79—published 3/7/79, effective 2/9/79]</w:t>
      </w:r>
    </w:p>
    <w:p>
      <w:pPr>
        <w:spacing w:before="0" w:after="0"/>
        <w:ind w:left="120"/>
        <w:jc w:val="center"/>
      </w:pPr>
      <w:r>
        <w:rPr>
          <w:rFonts w:ascii="Times New Roman" w:hAnsi="Times New Roman"/>
          <w:b w:val="false"/>
          <w:i w:val="false"/>
          <w:color w:val="000000"/>
          <w:sz w:val="21"/>
        </w:rPr>
        <w:t>[Filed emergency 5/16/80—published 6/11/80, effective 5/19/80]</w:t>
      </w:r>
    </w:p>
    <w:p>
      <w:pPr>
        <w:spacing w:before="0" w:after="0"/>
        <w:ind w:left="120"/>
        <w:jc w:val="center"/>
      </w:pPr>
      <w:r>
        <w:rPr>
          <w:rFonts w:ascii="Times New Roman" w:hAnsi="Times New Roman"/>
          <w:b w:val="false"/>
          <w:i w:val="false"/>
          <w:color w:val="000000"/>
          <w:sz w:val="21"/>
        </w:rPr>
        <w:t>[Filed emergency 9/12/80—published 10/1/80, effective 9/15/80]</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1/18/94, Notice 10/27/93—published 2/2/94, effective 3/9/94]</w:t>
      </w:r>
    </w:p>
    <w:p>
      <w:pPr>
        <w:spacing w:before="0" w:after="0"/>
        <w:ind w:left="120"/>
        <w:jc w:val="center"/>
      </w:pPr>
      <w:r>
        <w:rPr>
          <w:rFonts w:ascii="Times New Roman" w:hAnsi="Times New Roman"/>
          <w:b w:val="false"/>
          <w:i w:val="false"/>
          <w:color w:val="000000"/>
          <w:sz w:val="21"/>
        </w:rPr>
        <w:t>[Filed 9/9/94, Notice 7/6/94—published 9/28/94, effective 11/2/94]</w:t>
      </w:r>
    </w:p>
    <w:p>
      <w:pPr>
        <w:spacing w:before="0" w:after="0"/>
        <w:ind w:left="120"/>
        <w:jc w:val="center"/>
      </w:pPr>
      <w:r>
        <w:rPr>
          <w:rFonts w:ascii="Times New Roman" w:hAnsi="Times New Roman"/>
          <w:b w:val="false"/>
          <w:i w:val="false"/>
          <w:color w:val="000000"/>
          <w:sz w:val="21"/>
        </w:rPr>
        <w:t>[Filed ARC 8382B</w:t>
      </w:r>
      <w:r>
        <w:rPr>
          <w:rFonts w:ascii="Times New Roman" w:hAnsi="Times New Roman"/>
          <w:b w:val="false"/>
          <w:i w:val="false"/>
          <w:color w:val="000000"/>
          <w:sz w:val="21"/>
        </w:rPr>
        <w:t xml:space="preserve"> (Notice ARC 8052B, IAB 8/26/09)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7433C</w:t>
      </w:r>
      <w:r>
        <w:rPr>
          <w:rFonts w:ascii="Times New Roman" w:hAnsi="Times New Roman"/>
          <w:b w:val="false"/>
          <w:i w:val="false"/>
          <w:color w:val="000000"/>
          <w:sz w:val="21"/>
        </w:rPr>
        <w:t xml:space="preserve"> (Notice ARC 7081C,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7.44.pdf" Type="http://schemas.openxmlformats.org/officeDocument/2006/relationships/hyperlink" Id="rId5"/>
    <Relationship TargetMode="External" Target="https://www.legis.iowa.gov/docs/ico/chapter/257.43.pdf" Type="http://schemas.openxmlformats.org/officeDocument/2006/relationships/hyperlink" Id="rId6"/>
    <Relationship TargetMode="External" Target="https://www.legis.iowa.gov/docs/iac/chapter/281.98.pdf" Type="http://schemas.openxmlformats.org/officeDocument/2006/relationships/hyperlink" Id="rId7"/>
    <Relationship TargetMode="External" Target="https://www.legis.iowa.gov/docs/ico/chapter/257.48.pdf" Type="http://schemas.openxmlformats.org/officeDocument/2006/relationships/hyperlink" Id="rId8"/>
    <Relationship TargetMode="External" Target="https://www.legis.iowa.gov/docs/ico/chapter/257.49.pdf" Type="http://schemas.openxmlformats.org/officeDocument/2006/relationships/hyperlink" Id="rId9"/>
    <Relationship TargetMode="External" Target="https://www.legis.iowa.gov/docs/ico/chapter/257.42-4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