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XII</w:t>
      </w:r>
    </w:p>
    <w:p>
      <w:pPr>
        <w:pBdr>
          <w:bottom w:space="3"/>
        </w:pBdr>
        <w:spacing w:before="0" w:after="0"/>
        <w:ind w:left="120"/>
        <w:jc w:val="center"/>
      </w:pPr>
      <w:r>
        <w:rPr>
          <w:rFonts w:ascii="Times New Roman" w:hAnsi="Times New Roman"/>
          <w:b w:val="false"/>
          <w:i/>
          <w:color w:val="000000"/>
          <w:sz w:val="16"/>
        </w:rPr>
        <w:t>PROGRAMS ADMINISTRATION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w:t>
      </w:r>
    </w:p>
    <w:p>
      <w:pPr>
        <w:spacing w:before="0" w:after="0"/>
        <w:ind w:left="120"/>
        <w:jc w:val="center"/>
      </w:pPr>
      <w:r>
        <w:rPr>
          <w:rFonts w:ascii="Times New Roman" w:hAnsi="Times New Roman"/>
          <w:b w:val="false"/>
          <w:i w:val="false"/>
          <w:color w:val="000000"/>
          <w:sz w:val="21"/>
        </w:rPr>
        <w:t>SCHOOL BREAKFAST AND LUNCH PROGRAM; NUTRITIONAL</w:t>
      </w:r>
      <w:r>
        <w:br/>
      </w:r>
      <w:r>
        <w:rPr>
          <w:rFonts w:ascii="Times New Roman" w:hAnsi="Times New Roman"/>
          <w:b w:val="false"/>
          <w:i w:val="false"/>
          <w:color w:val="000000"/>
          <w:sz w:val="21"/>
        </w:rPr>
        <w:t xml:space="preserve"> CONTENT STANDARDS FOR OTHER FOODS AND BEVERAGES</w:t>
      </w:r>
    </w:p>
    <w:p>
      <w:pPr>
        <w:spacing w:before="0" w:after="0"/>
        <w:ind w:left="120"/>
        <w:jc w:val="center"/>
      </w:pPr>
      <w:r>
        <w:rPr>
          <w:rFonts w:ascii="Times New Roman" w:hAnsi="Times New Roman"/>
          <w:b w:val="false"/>
          <w:i w:val="false"/>
          <w:color w:val="000000"/>
          <w:sz w:val="14"/>
        </w:rPr>
        <w:t>[Prior to 9/7/88, see Public Instruction Department[670]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281—58.1</w:t>
      </w:r>
      <w:r>
        <w:rPr>
          <w:rFonts w:ascii="Times New Roman" w:hAnsi="Times New Roman"/>
          <w:b/>
          <w:i w:val="false"/>
          <w:color w:val="000000"/>
          <w:sz w:val="22"/>
        </w:rPr>
        <w:t xml:space="preserve">(256,283A) </w:t>
      </w:r>
      <w:r>
        <w:rPr>
          <w:rFonts w:ascii="Times New Roman" w:hAnsi="Times New Roman"/>
          <w:b/>
          <w:i w:val="false"/>
          <w:color w:val="000000"/>
          <w:sz w:val="22"/>
        </w:rPr>
        <w:t xml:space="preserve">School breakfast and lunch program. </w:t>
      </w:r>
      <w:r>
        <w:rPr>
          <w:rFonts w:ascii="Times New Roman" w:hAnsi="Times New Roman"/>
          <w:b w:val="false"/>
          <w:i w:val="false"/>
          <w:color w:val="000000"/>
          <w:sz w:val="22"/>
        </w:rPr>
        <w:t>The following regulations from the United States Department of Education’s Food and Nutrition Service governing the National School Lunch and School Breakfast programs and effective as of January 31, 2024, are incorporated by reference: 7 CFR Parts 210, 215, 220, 225, 226, 227, 235, 240, 245, and 250, as well as related procurement regulations at 2 CFR Sections 200.317 through 200.326.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7428C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281—58.2</w:t>
      </w:r>
      <w:r>
        <w:rPr>
          <w:rFonts w:ascii="Times New Roman" w:hAnsi="Times New Roman"/>
          <w:b/>
          <w:i w:val="false"/>
          <w:color w:val="000000"/>
          <w:sz w:val="22"/>
        </w:rPr>
        <w:t xml:space="preserve">(256) </w:t>
      </w:r>
      <w:r>
        <w:rPr>
          <w:rFonts w:ascii="Times New Roman" w:hAnsi="Times New Roman"/>
          <w:b/>
          <w:i w:val="false"/>
          <w:color w:val="000000"/>
          <w:sz w:val="22"/>
        </w:rPr>
        <w:t xml:space="preserve">Nutritional content standards for other foods and beverages. </w:t>
      </w:r>
      <w:r>
        <w:rPr>
          <w:rFonts w:ascii="Times New Roman" w:hAnsi="Times New Roman"/>
          <w:b w:val="false"/>
          <w:i w:val="false"/>
          <w:color w:val="000000"/>
          <w:sz w:val="22"/>
        </w:rPr>
        <w:t>The following regulation, as of January 31, 2024, is incorporated by reference: 7 CFR Section 210.11.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7428C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283A</w:t>
        </w:r>
      </w:hyperlink>
      <w:r>
        <w:rPr>
          <w:rFonts w:ascii="Times New Roman" w:hAnsi="Times New Roman"/>
          <w:b w:val="false"/>
          <w:i w:val="false"/>
          <w:color w:val="000000"/>
          <w:sz w:val="22"/>
        </w:rPr>
        <w:t xml:space="preserve"> and sections </w:t>
      </w:r>
      <w:hyperlink r:id="rId6">
        <w:r>
          <w:rPr>
            <w:rStyle w:val="Hyperlink"/>
            <w:rFonts w:ascii="Times New Roman" w:hAnsi="Times New Roman"/>
            <w:b w:val="false"/>
            <w:i w:val="false"/>
            <w:color w:val="000000"/>
            <w:sz w:val="22"/>
          </w:rPr>
          <w:t>256.7(29)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256.9(51)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7/4/52]</w:t>
      </w:r>
    </w:p>
    <w:p>
      <w:pPr>
        <w:spacing w:before="0" w:after="0"/>
        <w:ind w:left="120"/>
        <w:jc w:val="center"/>
      </w:pPr>
      <w:r>
        <w:rPr>
          <w:rFonts w:ascii="Times New Roman" w:hAnsi="Times New Roman"/>
          <w:b w:val="false"/>
          <w:i w:val="false"/>
          <w:color w:val="000000"/>
          <w:sz w:val="21"/>
        </w:rPr>
        <w:t>[Filed 3/27/81, Notice 2/4/81—published 4/15/81, effective 5/20/81]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11/19/93, Notice 9/29/93—published 12/8/93, effective 1/12/94]</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ARC 7782B</w:t>
      </w:r>
      <w:r>
        <w:rPr>
          <w:rFonts w:ascii="Times New Roman" w:hAnsi="Times New Roman"/>
          <w:b w:val="false"/>
          <w:i w:val="false"/>
          <w:color w:val="000000"/>
          <w:sz w:val="21"/>
        </w:rPr>
        <w:t xml:space="preserve"> (Notice ARC 7503B, IAB 1/14/09)</w:t>
      </w:r>
      <w:r>
        <w:rPr>
          <w:rFonts w:ascii="Times New Roman" w:hAnsi="Times New Roman"/>
          <w:b w:val="false"/>
          <w:i w:val="false"/>
          <w:color w:val="000000"/>
          <w:sz w:val="21"/>
        </w:rPr>
        <w:t>, IAB 5/20/09, effective 7/1/10]</w:t>
      </w:r>
    </w:p>
    <w:p>
      <w:pPr>
        <w:spacing w:before="0" w:after="0"/>
        <w:ind w:left="120"/>
        <w:jc w:val="center"/>
      </w:pPr>
      <w:r>
        <w:rPr>
          <w:rFonts w:ascii="Times New Roman" w:hAnsi="Times New Roman"/>
          <w:b w:val="false"/>
          <w:i w:val="false"/>
          <w:color w:val="000000"/>
          <w:sz w:val="21"/>
        </w:rPr>
        <w:t>[Filed ARC 1432C</w:t>
      </w:r>
      <w:r>
        <w:rPr>
          <w:rFonts w:ascii="Times New Roman" w:hAnsi="Times New Roman"/>
          <w:b w:val="false"/>
          <w:i w:val="false"/>
          <w:color w:val="000000"/>
          <w:sz w:val="21"/>
        </w:rPr>
        <w:t xml:space="preserve"> (Notice ARC 1341C, IAB 2/19/14)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7428C</w:t>
      </w:r>
      <w:r>
        <w:rPr>
          <w:rFonts w:ascii="Times New Roman" w:hAnsi="Times New Roman"/>
          <w:b w:val="false"/>
          <w:i w:val="false"/>
          <w:color w:val="000000"/>
          <w:sz w:val="21"/>
        </w:rPr>
        <w:t xml:space="preserve"> (Notice ARC 7094C,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3A.pdf" Type="http://schemas.openxmlformats.org/officeDocument/2006/relationships/hyperlink" Id="rId5"/>
    <Relationship TargetMode="External" Target="https://www.legis.iowa.gov/docs/ico/chapter/256.7.pdf" Type="http://schemas.openxmlformats.org/officeDocument/2006/relationships/hyperlink" Id="rId6"/>
    <Relationship TargetMode="External" Target="https://www.legis.iowa.gov/docs/ico/chapter/256.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