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w:t>
      </w:r>
    </w:p>
    <w:p>
      <w:pPr>
        <w:spacing w:before="0" w:after="0"/>
        <w:ind w:left="120"/>
        <w:jc w:val="center"/>
      </w:pPr>
      <w:r>
        <w:rPr>
          <w:rFonts w:ascii="Times New Roman" w:hAnsi="Times New Roman"/>
          <w:b w:val="false"/>
          <w:i w:val="false"/>
          <w:color w:val="000000"/>
          <w:sz w:val="21"/>
        </w:rPr>
        <w:t xml:space="preserve">EXTRACURRICULAR ATHLETIC ACTIVITY </w:t>
      </w:r>
      <w:r>
        <w:br/>
      </w:r>
      <w:r>
        <w:rPr>
          <w:rFonts w:ascii="Times New Roman" w:hAnsi="Times New Roman"/>
          <w:b w:val="false"/>
          <w:i w:val="false"/>
          <w:color w:val="000000"/>
          <w:sz w:val="21"/>
        </w:rPr>
        <w:t>CONFERENCE FOR MEMBER SCHOOLS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1/14/31</w:t>
      </w:r>
    </w:p>
    <w:p>
      <w:pPr>
        <w:spacing w:before="0" w:after="0"/>
        <w:ind w:left="120"/>
        <w:jc w:val="both"/>
      </w:pPr>
      <w:r>
        <w:rPr>
          <w:rFonts w:ascii="Times New Roman" w:hAnsi="Times New Roman"/>
          <w:b/>
          <w:i w:val="false"/>
          <w:color w:val="000000"/>
          <w:sz w:val="22"/>
        </w:rPr>
        <w:t>281—37.1</w:t>
      </w:r>
      <w:r>
        <w:rPr>
          <w:rFonts w:ascii="Times New Roman" w:hAnsi="Times New Roman"/>
          <w:b/>
          <w:i w:val="false"/>
          <w:color w:val="000000"/>
          <w:sz w:val="22"/>
        </w:rPr>
        <w:t xml:space="preserve">(280) </w:t>
      </w:r>
      <w:r>
        <w:rPr>
          <w:rFonts w:ascii="Times New Roman" w:hAnsi="Times New Roman"/>
          <w:b/>
          <w:i w:val="false"/>
          <w:color w:val="000000"/>
          <w:sz w:val="22"/>
        </w:rPr>
        <w:t xml:space="preserve">General. </w:t>
      </w:r>
      <w:r>
        <w:rPr>
          <w:rFonts w:ascii="Times New Roman" w:hAnsi="Times New Roman"/>
          <w:b w:val="false"/>
          <w:i w:val="false"/>
          <w:color w:val="000000"/>
          <w:sz w:val="22"/>
        </w:rPr>
        <w:t xml:space="preserve">It is the policy of the state of Iowa that each school desiring to be a member of a conference providing extracurricular athletic contests and competitions for students is granted this opportunity. For purposes of this chapter, “member school” means a nonpublic school or school district granted such status by any corporation, association, or organization registered with the state department of education pursuant to Iowa Code section </w:t>
      </w:r>
      <w:hyperlink r:id="rId5">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 xml:space="preserve"> and includes associate members. For purposes of this chapter, “school district” includes a public charter high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w:t>
      </w:r>
      <w:r>
        <w:rPr>
          <w:rFonts w:ascii="Times New Roman" w:hAnsi="Times New Roman"/>
          <w:b w:val="false"/>
          <w:i w:val="false"/>
          <w:color w:val="000000"/>
          <w:sz w:val="22"/>
        </w:rPr>
        <w:t> </w:t>
      </w:r>
      <w:r>
        <w:rPr>
          <w:rFonts w:ascii="Times New Roman" w:hAnsi="Times New Roman"/>
          <w:b w:val="false"/>
          <w:i/>
          <w:color w:val="000000"/>
          <w:sz w:val="22"/>
        </w:rPr>
        <w:t xml:space="preserve">Initial responsibility. </w:t>
      </w:r>
      <w:r>
        <w:rPr>
          <w:rFonts w:ascii="Times New Roman" w:hAnsi="Times New Roman"/>
          <w:b w:val="false"/>
          <w:i w:val="false"/>
          <w:color w:val="000000"/>
          <w:sz w:val="22"/>
        </w:rPr>
        <w:t>The initial authority and responsibility for conference development, membership, and alignment rests with the board of directors of each public school district and the authorities in charge of each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purposes of this chapter, the definitions in Iowa Code section </w:t>
      </w:r>
      <w:hyperlink r:id="rId6">
        <w:r>
          <w:rPr>
            <w:rStyle w:val="Hyperlink"/>
            <w:rFonts w:ascii="Times New Roman" w:hAnsi="Times New Roman"/>
            <w:b w:val="false"/>
            <w:i w:val="false"/>
            <w:color w:val="000000"/>
            <w:sz w:val="22"/>
          </w:rPr>
          <w:t>280.13E</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w:t>
      </w:r>
      <w:r>
        <w:rPr>
          <w:rFonts w:ascii="Times New Roman" w:hAnsi="Times New Roman"/>
          <w:b w:val="false"/>
          <w:i w:val="false"/>
          <w:color w:val="000000"/>
          <w:sz w:val="22"/>
        </w:rPr>
        <w:t> </w:t>
      </w:r>
      <w:r>
        <w:rPr>
          <w:rFonts w:ascii="Times New Roman" w:hAnsi="Times New Roman"/>
          <w:b w:val="false"/>
          <w:i/>
          <w:color w:val="000000"/>
          <w:sz w:val="22"/>
        </w:rPr>
        <w:t xml:space="preserve">Policies. </w:t>
      </w:r>
      <w:r>
        <w:rPr>
          <w:rFonts w:ascii="Times New Roman" w:hAnsi="Times New Roman"/>
          <w:b w:val="false"/>
          <w:i w:val="false"/>
          <w:color w:val="000000"/>
          <w:sz w:val="22"/>
        </w:rPr>
        <w:t xml:space="preserve">Each organization subject to this chapter will establish policies to implement Iowa Code section </w:t>
      </w:r>
      <w:hyperlink r:id="rId7">
        <w:r>
          <w:rPr>
            <w:rStyle w:val="Hyperlink"/>
            <w:rFonts w:ascii="Times New Roman" w:hAnsi="Times New Roman"/>
            <w:b w:val="false"/>
            <w:i w:val="false"/>
            <w:color w:val="000000"/>
            <w:sz w:val="22"/>
          </w:rPr>
          <w:t>280.13E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9810C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281—37.2</w:t>
      </w:r>
      <w:r>
        <w:rPr>
          <w:rFonts w:ascii="Times New Roman" w:hAnsi="Times New Roman"/>
          <w:b/>
          <w:i w:val="false"/>
          <w:color w:val="000000"/>
          <w:sz w:val="22"/>
        </w:rPr>
        <w:t xml:space="preserve">(280) </w:t>
      </w:r>
      <w:r>
        <w:rPr>
          <w:rFonts w:ascii="Times New Roman" w:hAnsi="Times New Roman"/>
          <w:b/>
          <w:i w:val="false"/>
          <w:color w:val="000000"/>
          <w:sz w:val="22"/>
        </w:rPr>
        <w:t xml:space="preserve">Conference realignment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conference realignment committee (committee) is established pursuant to Iowa Code section </w:t>
      </w:r>
      <w:hyperlink r:id="rId8">
        <w:r>
          <w:rPr>
            <w:rStyle w:val="Hyperlink"/>
            <w:rFonts w:ascii="Times New Roman" w:hAnsi="Times New Roman"/>
            <w:b w:val="false"/>
            <w:i w:val="false"/>
            <w:color w:val="000000"/>
            <w:sz w:val="22"/>
          </w:rPr>
          <w:t>280.13E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37.2(2)</w:t>
      </w:r>
      <w:r>
        <w:rPr>
          <w:rFonts w:ascii="Times New Roman" w:hAnsi="Times New Roman"/>
          <w:b w:val="false"/>
          <w:i w:val="false"/>
          <w:color w:val="000000"/>
          <w:sz w:val="22"/>
        </w:rPr>
        <w:t> </w:t>
      </w:r>
      <w:r>
        <w:rPr>
          <w:rFonts w:ascii="Times New Roman" w:hAnsi="Times New Roman"/>
          <w:b w:val="false"/>
          <w:i/>
          <w:color w:val="000000"/>
          <w:sz w:val="22"/>
        </w:rPr>
        <w:t xml:space="preserve">Duties and powers. </w:t>
      </w:r>
      <w:r>
        <w:rPr>
          <w:rFonts w:ascii="Times New Roman" w:hAnsi="Times New Roman"/>
          <w:b w:val="false"/>
          <w:i w:val="false"/>
          <w:color w:val="000000"/>
          <w:sz w:val="22"/>
        </w:rPr>
        <w:t xml:space="preserve">The committee has the duties and powers specified in Iowa Code section </w:t>
      </w:r>
      <w:hyperlink r:id="rId9">
        <w:r>
          <w:rPr>
            <w:rStyle w:val="Hyperlink"/>
            <w:rFonts w:ascii="Times New Roman" w:hAnsi="Times New Roman"/>
            <w:b w:val="false"/>
            <w:i w:val="false"/>
            <w:color w:val="000000"/>
            <w:sz w:val="22"/>
          </w:rPr>
          <w:t>280.13E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37.2(3)</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committee will have the membership described in Iowa Code section </w:t>
      </w:r>
      <w:hyperlink r:id="rId10">
        <w:r>
          <w:rPr>
            <w:rStyle w:val="Hyperlink"/>
            <w:rFonts w:ascii="Times New Roman" w:hAnsi="Times New Roman"/>
            <w:b w:val="false"/>
            <w:i w:val="false"/>
            <w:color w:val="000000"/>
            <w:sz w:val="22"/>
          </w:rPr>
          <w:t>280.13E(2)</w:t>
        </w:r>
      </w:hyperlink>
      <w:r>
        <w:rPr>
          <w:rFonts w:ascii="Times New Roman" w:hAnsi="Times New Roman"/>
          <w:b w:val="false"/>
          <w:i/>
          <w:color w:val="000000"/>
          <w:sz w:val="22"/>
        </w:rPr>
        <w:t>“a”</w:t>
      </w:r>
      <w:r>
        <w:rPr>
          <w:rFonts w:ascii="Times New Roman" w:hAnsi="Times New Roman"/>
          <w:b w:val="false"/>
          <w:i w:val="false"/>
          <w:color w:val="000000"/>
          <w:sz w:val="22"/>
        </w:rPr>
        <w:t>(2). Members will be selected based on regions established by the two organizations, with each region being guaranteed representation, and may also be selected on an at-large basis. Members serve four-year terms and are eligible for reappointment once.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37.2(4)</w:t>
      </w:r>
      <w:r>
        <w:rPr>
          <w:rFonts w:ascii="Times New Roman" w:hAnsi="Times New Roman"/>
          <w:b w:val="false"/>
          <w:i w:val="false"/>
          <w:color w:val="000000"/>
          <w:sz w:val="22"/>
        </w:rPr>
        <w:t> </w:t>
      </w:r>
      <w:r>
        <w:rPr>
          <w:rFonts w:ascii="Times New Roman" w:hAnsi="Times New Roman"/>
          <w:b w:val="false"/>
          <w:i/>
          <w:color w:val="000000"/>
          <w:sz w:val="22"/>
        </w:rPr>
        <w:t xml:space="preserve">Appointment of members. </w:t>
      </w:r>
      <w:r>
        <w:rPr>
          <w:rFonts w:ascii="Times New Roman" w:hAnsi="Times New Roman"/>
          <w:b w:val="false"/>
          <w:i w:val="false"/>
          <w:color w:val="000000"/>
          <w:sz w:val="22"/>
        </w:rPr>
        <w:t>The executive directors of the two organizations make appointments to the committee, including filling vacancies. The executive directors of the two organizations will initially divide committee memberships into two cohorts and alternate making appointments to each cohort every four-year cycle. Each cohort will contain at least one representative of a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37.2(5)</w:t>
      </w:r>
      <w:r>
        <w:rPr>
          <w:rFonts w:ascii="Times New Roman" w:hAnsi="Times New Roman"/>
          <w:b w:val="false"/>
          <w:i w:val="false"/>
          <w:color w:val="000000"/>
          <w:sz w:val="22"/>
        </w:rPr>
        <w:t> </w:t>
      </w:r>
      <w:r>
        <w:rPr>
          <w:rFonts w:ascii="Times New Roman" w:hAnsi="Times New Roman"/>
          <w:b w:val="false"/>
          <w:i/>
          <w:color w:val="000000"/>
          <w:sz w:val="22"/>
        </w:rPr>
        <w:t xml:space="preserve">Committee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executive directors of the two organizations will provide recommendations on committee agenda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quorum for the committee is ten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committee may adopt bylaws consistent with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9810C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4/15/26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281—37.3</w:t>
      </w:r>
      <w:r>
        <w:rPr>
          <w:rFonts w:ascii="Times New Roman" w:hAnsi="Times New Roman"/>
          <w:b/>
          <w:i w:val="false"/>
          <w:color w:val="000000"/>
          <w:sz w:val="22"/>
        </w:rPr>
        <w:t xml:space="preserve">(280) </w:t>
      </w:r>
      <w:r>
        <w:rPr>
          <w:rFonts w:ascii="Times New Roman" w:hAnsi="Times New Roman"/>
          <w:b/>
          <w:i w:val="false"/>
          <w:color w:val="000000"/>
          <w:sz w:val="22"/>
        </w:rPr>
        <w:t xml:space="preserve">Appeal to the director of the Iowa department of education. </w:t>
      </w:r>
      <w:r>
        <w:rPr>
          <w:rFonts w:ascii="Times New Roman" w:hAnsi="Times New Roman"/>
          <w:b w:val="false"/>
          <w:i w:val="false"/>
          <w:color w:val="000000"/>
          <w:sz w:val="22"/>
        </w:rPr>
        <w:t xml:space="preserve">A member school may appeal a committee’s decision to the director of the Iowa department of education within 60 days of the date of the decision. The director will receive the records of the committee, and no new evidence will be permitted, except for good cause shown. The committee’s decision is presumed correct, and the appellant has the burden of demonstrating the committee’s decision is based on a failure to follow the processes and standards set out in Iowa Code section </w:t>
      </w:r>
      <w:hyperlink r:id="rId11">
        <w:r>
          <w:rPr>
            <w:rStyle w:val="Hyperlink"/>
            <w:rFonts w:ascii="Times New Roman" w:hAnsi="Times New Roman"/>
            <w:b w:val="false"/>
            <w:i w:val="false"/>
            <w:color w:val="000000"/>
            <w:sz w:val="22"/>
          </w:rPr>
          <w:t>280.13E</w:t>
        </w:r>
      </w:hyperlink>
      <w:r>
        <w:rPr>
          <w:rFonts w:ascii="Times New Roman" w:hAnsi="Times New Roman"/>
          <w:b w:val="false"/>
          <w:i w:val="false"/>
          <w:color w:val="000000"/>
          <w:sz w:val="22"/>
        </w:rPr>
        <w:t>, on factual findings that have no evidentiary basis, or on legal conclusions that are manifestly erroneous. The director may refer the matter to an administrative law judge for a proposed decision. The director’s decision is due within 60 days of the date of the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9810C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4/15/26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2">
        <w:r>
          <w:rPr>
            <w:rStyle w:val="Hyperlink"/>
            <w:rFonts w:ascii="Times New Roman" w:hAnsi="Times New Roman"/>
            <w:b w:val="false"/>
            <w:i w:val="false"/>
            <w:color w:val="000000"/>
            <w:sz w:val="22"/>
          </w:rPr>
          <w:t>280.13E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11/22/91, Notice 10/2/91—published 12/11/91, effective 1/15/92]</w:t>
      </w:r>
    </w:p>
    <w:p>
      <w:pPr>
        <w:spacing w:before="0" w:after="0"/>
        <w:ind w:left="120"/>
        <w:jc w:val="center"/>
      </w:pPr>
      <w:r>
        <w:rPr>
          <w:rFonts w:ascii="Times New Roman" w:hAnsi="Times New Roman"/>
          <w:b w:val="false"/>
          <w:i w:val="false"/>
          <w:color w:val="000000"/>
          <w:sz w:val="21"/>
        </w:rPr>
        <w:t>[Filed 4/19/02, Notice 2/6/02—published 5/15/02, effective 6/19/02]</w:t>
      </w:r>
    </w:p>
    <w:p>
      <w:pPr>
        <w:spacing w:before="0" w:after="0"/>
        <w:ind w:left="120"/>
        <w:jc w:val="center"/>
      </w:pPr>
      <w:r>
        <w:rPr>
          <w:rFonts w:ascii="Times New Roman" w:hAnsi="Times New Roman"/>
          <w:b w:val="false"/>
          <w:i w:val="false"/>
          <w:color w:val="000000"/>
          <w:sz w:val="21"/>
        </w:rPr>
        <w:t>[Filed ARC 7658C</w:t>
      </w:r>
      <w:r>
        <w:rPr>
          <w:rFonts w:ascii="Times New Roman" w:hAnsi="Times New Roman"/>
          <w:b w:val="false"/>
          <w:i w:val="false"/>
          <w:color w:val="000000"/>
          <w:sz w:val="21"/>
        </w:rPr>
        <w:t xml:space="preserve"> (Notice ARC 7163C, IAB 12/13/23)</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[Filed ARC 9810C</w:t>
      </w:r>
      <w:r>
        <w:rPr>
          <w:rFonts w:ascii="Times New Roman" w:hAnsi="Times New Roman"/>
          <w:b w:val="false"/>
          <w:i w:val="false"/>
          <w:color w:val="000000"/>
          <w:sz w:val="21"/>
        </w:rPr>
        <w:t xml:space="preserve"> (Notice ARC 9603C, IAB 10/1/25)</w:t>
      </w:r>
      <w:r>
        <w:rPr>
          <w:rFonts w:ascii="Times New Roman" w:hAnsi="Times New Roman"/>
          <w:b w:val="false"/>
          <w:i w:val="false"/>
          <w:color w:val="000000"/>
          <w:sz w:val="21"/>
        </w:rPr>
        <w:t>, IAB 12/10/25, effective 1/14/26]</w:t>
      </w:r>
    </w:p>
    <w:p>
      <w:pPr>
        <w:spacing w:before="0" w:after="0"/>
        <w:ind w:left="120"/>
        <w:jc w:val="center"/>
      </w:pPr>
      <w:r>
        <w:rPr>
          <w:rFonts w:ascii="Times New Roman" w:hAnsi="Times New Roman"/>
          <w:b w:val="false"/>
          <w:i w:val="false"/>
          <w:color w:val="000000"/>
          <w:sz w:val="21"/>
        </w:rPr>
        <w:t>[Editorial change: IAC Supplement 4/15/26]</w:t>
      </w:r>
    </w:p>
    <w:sectPr>
      <w:footerReference r:id="rId13"/>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0.13.pdf" Type="http://schemas.openxmlformats.org/officeDocument/2006/relationships/hyperlink" Id="rId5"/>
    <Relationship TargetMode="External" Target="https://www.legis.iowa.gov/docs/ico/chapter/280.13E.pdf" Type="http://schemas.openxmlformats.org/officeDocument/2006/relationships/hyperlink" Id="rId6"/>
    <Relationship TargetMode="External" Target="https://www.legis.iowa.gov/docs/ico/chapter/280.13E.pdf" Type="http://schemas.openxmlformats.org/officeDocument/2006/relationships/hyperlink" Id="rId7"/>
    <Relationship TargetMode="External" Target="https://www.legis.iowa.gov/docs/ico/chapter/280.13E.pdf" Type="http://schemas.openxmlformats.org/officeDocument/2006/relationships/hyperlink" Id="rId8"/>
    <Relationship TargetMode="External" Target="https://www.legis.iowa.gov/docs/ico/chapter/280.13E.pdf" Type="http://schemas.openxmlformats.org/officeDocument/2006/relationships/hyperlink" Id="rId9"/>
    <Relationship TargetMode="External" Target="https://www.legis.iowa.gov/docs/ico/chapter/280.13E.pdf" Type="http://schemas.openxmlformats.org/officeDocument/2006/relationships/hyperlink" Id="rId10"/>
    <Relationship TargetMode="External" Target="https://www.legis.iowa.gov/docs/ico/chapter/280.13E.pdf" Type="http://schemas.openxmlformats.org/officeDocument/2006/relationships/hyperlink" Id="rId11"/>
    <Relationship TargetMode="External" Target="https://www.legis.iowa.gov/docs/ico/chapter/280.13E.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