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35</w:t>
      </w:r>
    </w:p>
    <w:p>
      <w:pPr>
        <w:spacing w:before="0" w:after="0"/>
        <w:ind w:left="120"/>
        <w:jc w:val="center"/>
      </w:pPr>
      <w:r>
        <w:rPr>
          <w:rFonts w:ascii="Times New Roman" w:hAnsi="Times New Roman"/>
          <w:b w:val="false"/>
          <w:i w:val="false"/>
          <w:color w:val="000000"/>
          <w:sz w:val="21"/>
        </w:rPr>
        <w:t>EDUCATIONAL AND PROGRAM STANDARDS FOR CHILDREN’S RESIDENTIAL FACILITIES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281—35.1</w:t>
      </w:r>
      <w:r>
        <w:rPr>
          <w:rFonts w:ascii="Times New Roman" w:hAnsi="Times New Roman"/>
          <w:b/>
          <w:i w:val="false"/>
          <w:color w:val="000000"/>
          <w:sz w:val="22"/>
        </w:rPr>
        <w:t xml:space="preserve">(282) </w:t>
      </w:r>
      <w:r>
        <w:rPr>
          <w:rFonts w:ascii="Times New Roman" w:hAnsi="Times New Roman"/>
          <w:b/>
          <w:i w:val="false"/>
          <w:color w:val="000000"/>
          <w:sz w:val="22"/>
        </w:rPr>
        <w:t xml:space="preserve">General. </w:t>
      </w:r>
      <w:r>
        <w:rPr>
          <w:rFonts w:ascii="Times New Roman" w:hAnsi="Times New Roman"/>
          <w:b w:val="false"/>
          <w:i w:val="false"/>
          <w:color w:val="000000"/>
          <w:sz w:val="22"/>
        </w:rPr>
        <w:t>All school-age children, including children younger than 5 years of age and older than 18 years of age who are eligible children to receive special education, who are living in any children’s residential facility providing residential care to children within the state of Iowa, which is not otherwise exempted by the Iowa Code, are to be provided an appropriate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281—35.2</w:t>
      </w:r>
      <w:r>
        <w:rPr>
          <w:rFonts w:ascii="Times New Roman" w:hAnsi="Times New Roman"/>
          <w:b/>
          <w:i w:val="false"/>
          <w:color w:val="000000"/>
          <w:sz w:val="22"/>
        </w:rPr>
        <w:t xml:space="preserve">(282)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“children” </w:t>
      </w:r>
      <w:r>
        <w:rPr>
          <w:rFonts w:ascii="Times New Roman" w:hAnsi="Times New Roman"/>
          <w:b w:val="false"/>
          <w:i w:val="false"/>
          <w:color w:val="000000"/>
          <w:sz w:val="22"/>
        </w:rPr>
        <w:t>means an individual or individuals under 18 years of age. A child is “school-age” if the child is at least 5 years of age on September 15 but not more than 21 years of age or if the child is younger than 5 years of age or older than 18 years of age and is an eligible child to receive special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“Children’s residential facility”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237C.1(3)</w:t>
        </w:r>
      </w:hyperlink>
      <w:r>
        <w:rPr>
          <w:rFonts w:ascii="Times New Roman" w:hAnsi="Times New Roman"/>
          <w:b w:val="false"/>
          <w:i w:val="false"/>
          <w:color w:val="000000"/>
          <w:sz w:val="22"/>
        </w:rPr>
        <w:t xml:space="preserve"> and may also be referred to as a “private facility.” It does not include any facility that houses school-age children and children eligible to receive special education who are under the jurisdiction of the department of corrections, department of health and human services, board of regents, or other governmental agency and that has current authority to offer direct instruction to children from funding available to one of the above agencies.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281—35.3</w:t>
      </w:r>
      <w:r>
        <w:rPr>
          <w:rFonts w:ascii="Times New Roman" w:hAnsi="Times New Roman"/>
          <w:b/>
          <w:i w:val="false"/>
          <w:color w:val="000000"/>
          <w:sz w:val="22"/>
        </w:rPr>
        <w:t xml:space="preserve">(282) </w:t>
      </w:r>
      <w:r>
        <w:rPr>
          <w:rFonts w:ascii="Times New Roman" w:hAnsi="Times New Roman"/>
          <w:b/>
          <w:i w:val="false"/>
          <w:color w:val="000000"/>
          <w:sz w:val="22"/>
        </w:rPr>
        <w:t xml:space="preserve">Establishing an appropriate educational program. </w:t>
      </w:r>
      <w:r>
        <w:rPr>
          <w:rFonts w:ascii="Times New Roman" w:hAnsi="Times New Roman"/>
          <w:b w:val="false"/>
          <w:i w:val="false"/>
          <w:color w:val="000000"/>
          <w:sz w:val="22"/>
        </w:rPr>
        <w:t>A children’s residential facility may accept any child of school age or a child who is eligible to receive special education services only after it has been issued a certificate of approval by the department of health and human services and has established an appropriate educational program and services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35.3(1)</w:t>
      </w:r>
      <w:r>
        <w:rPr>
          <w:rFonts w:ascii="Times New Roman" w:hAnsi="Times New Roman"/>
          <w:b w:val="false"/>
          <w:i w:val="false"/>
          <w:color w:val="000000"/>
          <w:sz w:val="22"/>
        </w:rPr>
        <w:t> </w:t>
      </w:r>
      <w:r>
        <w:rPr>
          <w:rFonts w:ascii="Times New Roman" w:hAnsi="Times New Roman"/>
          <w:b w:val="false"/>
          <w:i w:val="false"/>
          <w:color w:val="000000"/>
          <w:sz w:val="22"/>
        </w:rPr>
        <w:t xml:space="preserve">A private facility will establish an appropriate educational program using one of the options provided in Iowa Code section </w:t>
      </w:r>
      <w:hyperlink r:id="rId6">
        <w:r>
          <w:rPr>
            <w:rStyle w:val="Hyperlink"/>
            <w:rFonts w:ascii="Times New Roman" w:hAnsi="Times New Roman"/>
            <w:b w:val="false"/>
            <w:i w:val="false"/>
            <w:color w:val="000000"/>
            <w:sz w:val="22"/>
          </w:rPr>
          <w:t>282.34(1)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35.3(2)</w:t>
      </w:r>
      <w:r>
        <w:rPr>
          <w:rFonts w:ascii="Times New Roman" w:hAnsi="Times New Roman"/>
          <w:b w:val="false"/>
          <w:i w:val="false"/>
          <w:color w:val="000000"/>
          <w:sz w:val="22"/>
        </w:rPr>
        <w:t> </w:t>
      </w:r>
      <w:r>
        <w:rPr>
          <w:rFonts w:ascii="Times New Roman" w:hAnsi="Times New Roman"/>
          <w:b w:val="false"/>
          <w:i w:val="false"/>
          <w:color w:val="000000"/>
          <w:sz w:val="22"/>
        </w:rPr>
        <w:t>Any contract established by the private facility with a school district or accredited nonpublic school is to include, at a minimum, the physical location of the educational program and educational services; the parties involved; the purpose of the contract; the program description in detail; the powers, duties and authority of each party to the contract; the jurisdiction of each party to the contract; the dispute resolution procedure; specifications of the services that are contracted, if any, and how costs are to be calculated; billing procedures; how each legal, testing, and reporting obligation will be met; ownership of property belonging to the party that paid the cost or contributed the item; contract amendment procedures; contract approval procedures; contract renewal and termination procedures; duration of the contract; cross indemnification; application of laws, rules and regulations; binding effect; severability; assurances; and signature of the school board with legal power to authorize the terms of the contract. Any contract developed under this rule is to be submitted to the department of education for review and approval by the director of the department prior to enactment. A contract that fails to comply with any of the provisions of this chapter is void.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35.3(3)</w:t>
      </w:r>
      <w:r>
        <w:rPr>
          <w:rFonts w:ascii="Times New Roman" w:hAnsi="Times New Roman"/>
          <w:b w:val="false"/>
          <w:i w:val="false"/>
          <w:color w:val="000000"/>
          <w:sz w:val="22"/>
        </w:rPr>
        <w:t> </w:t>
      </w:r>
      <w:r>
        <w:rPr>
          <w:rFonts w:ascii="Times New Roman" w:hAnsi="Times New Roman"/>
          <w:b w:val="false"/>
          <w:i w:val="false"/>
          <w:color w:val="000000"/>
          <w:sz w:val="22"/>
        </w:rPr>
        <w:t>Children residing in a private facility who need treatment or security throughout the day shall have classrooms made available at the site of the private facility at no cost to the school district providing the instructional program or instructional supervision. The classroom is to meet the requirements for educational space for children in accordance with the Iowa Code, administrative rules, and state fire marshal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35.3(4)</w:t>
      </w:r>
      <w:r>
        <w:rPr>
          <w:rFonts w:ascii="Times New Roman" w:hAnsi="Times New Roman"/>
          <w:b w:val="false"/>
          <w:i w:val="false"/>
          <w:color w:val="000000"/>
          <w:sz w:val="22"/>
        </w:rPr>
        <w:t> </w:t>
      </w:r>
      <w:r>
        <w:rPr>
          <w:rFonts w:ascii="Times New Roman" w:hAnsi="Times New Roman"/>
          <w:b w:val="false"/>
          <w:i w:val="false"/>
          <w:color w:val="000000"/>
          <w:sz w:val="22"/>
        </w:rPr>
        <w:t>Nothing included in this chapter regulates religious education curricula of any private facility.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281—35.4</w:t>
      </w:r>
      <w:r>
        <w:rPr>
          <w:rFonts w:ascii="Times New Roman" w:hAnsi="Times New Roman"/>
          <w:b/>
          <w:i w:val="false"/>
          <w:color w:val="000000"/>
          <w:sz w:val="22"/>
        </w:rPr>
        <w:t xml:space="preserve">(282) </w:t>
      </w:r>
      <w:r>
        <w:rPr>
          <w:rFonts w:ascii="Times New Roman" w:hAnsi="Times New Roman"/>
          <w:b/>
          <w:i w:val="false"/>
          <w:color w:val="000000"/>
          <w:sz w:val="22"/>
        </w:rPr>
        <w:t xml:space="preserve">Notices, fees, and reporting.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35.4(1)</w:t>
      </w:r>
      <w:r>
        <w:rPr>
          <w:rFonts w:ascii="Times New Roman" w:hAnsi="Times New Roman"/>
          <w:b w:val="false"/>
          <w:i w:val="false"/>
          <w:color w:val="000000"/>
          <w:sz w:val="22"/>
        </w:rPr>
        <w:t> </w:t>
      </w:r>
      <w:r>
        <w:rPr>
          <w:rFonts w:ascii="Times New Roman" w:hAnsi="Times New Roman"/>
          <w:b w:val="false"/>
          <w:i w:val="false"/>
          <w:color w:val="000000"/>
          <w:sz w:val="22"/>
        </w:rPr>
        <w:t xml:space="preserve">A private facility is to comply with Iowa Code sections </w:t>
      </w:r>
      <w:hyperlink r:id="rId7">
        <w:r>
          <w:rPr>
            <w:rStyle w:val="Hyperlink"/>
            <w:rFonts w:ascii="Times New Roman" w:hAnsi="Times New Roman"/>
            <w:b w:val="false"/>
            <w:i w:val="false"/>
            <w:color w:val="000000"/>
            <w:sz w:val="22"/>
          </w:rPr>
          <w:t>282.34(1)</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282.34(1)</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35.4(2)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educational programs and educational services are provided by or through the public school district of location, only fees related to the educational programs and educational services that are authorized by the Iowa Code, including but not limited to Iowa Code chapter </w:t>
      </w:r>
      <w:hyperlink r:id="rId9">
        <w:r>
          <w:rPr>
            <w:rStyle w:val="Hyperlink"/>
            <w:rFonts w:ascii="Times New Roman" w:hAnsi="Times New Roman"/>
            <w:b w:val="false"/>
            <w:i w:val="false"/>
            <w:color w:val="000000"/>
            <w:sz w:val="22"/>
          </w:rPr>
          <w:t>282</w:t>
        </w:r>
      </w:hyperlink>
      <w:r>
        <w:rPr>
          <w:rFonts w:ascii="Times New Roman" w:hAnsi="Times New Roman"/>
          <w:b w:val="false"/>
          <w:i w:val="false"/>
          <w:color w:val="000000"/>
          <w:sz w:val="22"/>
        </w:rPr>
        <w:t>, may be charged. The public school district cannot charge nonresident students a higher fee than resident students.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35.4(3)</w:t>
      </w:r>
      <w:r>
        <w:rPr>
          <w:rFonts w:ascii="Times New Roman" w:hAnsi="Times New Roman"/>
          <w:b w:val="false"/>
          <w:i w:val="false"/>
          <w:color w:val="000000"/>
          <w:sz w:val="22"/>
        </w:rPr>
        <w:t> </w:t>
      </w:r>
      <w:r>
        <w:rPr>
          <w:rFonts w:ascii="Times New Roman" w:hAnsi="Times New Roman"/>
          <w:b w:val="false"/>
          <w:i w:val="false"/>
          <w:color w:val="000000"/>
          <w:sz w:val="22"/>
        </w:rPr>
        <w:t>A private facility is to comply with requests by the Iowa department of education for basic educational and financial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281—35.5</w:t>
      </w:r>
      <w:r>
        <w:rPr>
          <w:rFonts w:ascii="Times New Roman" w:hAnsi="Times New Roman"/>
          <w:b/>
          <w:i w:val="false"/>
          <w:color w:val="000000"/>
          <w:sz w:val="22"/>
        </w:rPr>
        <w:t xml:space="preserve">(282) </w:t>
      </w:r>
      <w:r>
        <w:rPr>
          <w:rFonts w:ascii="Times New Roman" w:hAnsi="Times New Roman"/>
          <w:b/>
          <w:i w:val="false"/>
          <w:color w:val="000000"/>
          <w:sz w:val="22"/>
        </w:rPr>
        <w:t xml:space="preserve">Provision of appropriate educational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35.5(1)</w:t>
      </w:r>
      <w:r>
        <w:rPr>
          <w:rFonts w:ascii="Times New Roman" w:hAnsi="Times New Roman"/>
          <w:b w:val="false"/>
          <w:i w:val="false"/>
          <w:color w:val="000000"/>
          <w:sz w:val="22"/>
        </w:rPr>
        <w:t> </w:t>
      </w:r>
      <w:r>
        <w:rPr>
          <w:rFonts w:ascii="Times New Roman" w:hAnsi="Times New Roman"/>
          <w:b w:val="false"/>
          <w:i w:val="false"/>
          <w:color w:val="000000"/>
          <w:sz w:val="22"/>
        </w:rPr>
        <w:t xml:space="preserve">A private facility is to fully cooperate with the area education agency and school district in which the facility is located to fulfill the area education agency’s responsibilities for child find under </w:t>
      </w:r>
      <w:hyperlink r:id="rId10">
        <w:r>
          <w:rPr>
            <w:rStyle w:val="Hyperlink"/>
            <w:rFonts w:ascii="Times New Roman" w:hAnsi="Times New Roman"/>
            <w:b w:val="false"/>
            <w:i w:val="false"/>
            <w:color w:val="000000"/>
            <w:sz w:val="22"/>
          </w:rPr>
          <w:t>281—Chapter 41</w:t>
        </w:r>
      </w:hyperlink>
      <w:r>
        <w:rPr>
          <w:rFonts w:ascii="Times New Roman" w:hAnsi="Times New Roman"/>
          <w:b w:val="false"/>
          <w:i w:val="false"/>
          <w:color w:val="000000"/>
          <w:sz w:val="22"/>
        </w:rPr>
        <w:t>, including making a child available for evaluation and provision of services for which the child is eligible.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35.5(2)</w:t>
      </w:r>
      <w:r>
        <w:rPr>
          <w:rFonts w:ascii="Times New Roman" w:hAnsi="Times New Roman"/>
          <w:b w:val="false"/>
          <w:i w:val="false"/>
          <w:color w:val="000000"/>
          <w:sz w:val="22"/>
        </w:rPr>
        <w:t> </w:t>
      </w:r>
      <w:r>
        <w:rPr>
          <w:rFonts w:ascii="Times New Roman" w:hAnsi="Times New Roman"/>
          <w:b w:val="false"/>
          <w:i w:val="false"/>
          <w:color w:val="000000"/>
          <w:sz w:val="22"/>
        </w:rPr>
        <w:t>If a child does not need treatment or security by a private facility in such a time or manner as is needed to remain on the campus of the private facility, a child with an individual education plan is to be provided special education instruction and related services with other nondisabled children within the least restrictive environment to the maximum extent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35.5(3)</w:t>
      </w:r>
      <w:r>
        <w:rPr>
          <w:rFonts w:ascii="Times New Roman" w:hAnsi="Times New Roman"/>
          <w:b w:val="false"/>
          <w:i w:val="false"/>
          <w:color w:val="000000"/>
          <w:sz w:val="22"/>
        </w:rPr>
        <w:t> </w:t>
      </w:r>
      <w:r>
        <w:rPr>
          <w:rFonts w:ascii="Times New Roman" w:hAnsi="Times New Roman"/>
          <w:b w:val="false"/>
          <w:i w:val="false"/>
          <w:color w:val="000000"/>
          <w:sz w:val="22"/>
        </w:rPr>
        <w:t>The area education agency in which the private facility is located, the school district of residence, and other appropriate public or private agencies or private individuals involved with the care or placement of a child will cooperate with the school district in which the private facility is located in sharing educational information, textbooks, curricula, assignments, and materials to plan and to provide for the appropriate education of the child living in a private facility and to ensure academic credit is granted to the child for instructional time earned upon discharge from the private residential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35.5(4)</w:t>
      </w:r>
      <w:r>
        <w:rPr>
          <w:rFonts w:ascii="Times New Roman" w:hAnsi="Times New Roman"/>
          <w:b w:val="false"/>
          <w:i w:val="false"/>
          <w:color w:val="000000"/>
          <w:sz w:val="22"/>
        </w:rPr>
        <w:t> </w:t>
      </w:r>
      <w:r>
        <w:rPr>
          <w:rFonts w:ascii="Times New Roman" w:hAnsi="Times New Roman"/>
          <w:b w:val="false"/>
          <w:i w:val="false"/>
          <w:color w:val="000000"/>
          <w:sz w:val="22"/>
        </w:rPr>
        <w:t xml:space="preserve">A private facility that houses eligible children who are four years of age by September 15 of the school year will notify the parents or legal guardians of these eligible children about the opportunities to access quality preschool programs. Children whose parents are Iowa residents may access the statewide voluntary preschool program under </w:t>
      </w:r>
      <w:hyperlink r:id="rId11">
        <w:r>
          <w:rPr>
            <w:rStyle w:val="Hyperlink"/>
            <w:rFonts w:ascii="Times New Roman" w:hAnsi="Times New Roman"/>
            <w:b w:val="false"/>
            <w:i w:val="false"/>
            <w:color w:val="000000"/>
            <w:sz w:val="22"/>
          </w:rPr>
          <w:t>281—Chapter 16</w:t>
        </w:r>
      </w:hyperlink>
      <w:r>
        <w:rPr>
          <w:rFonts w:ascii="Times New Roman" w:hAnsi="Times New Roman"/>
          <w:b w:val="false"/>
          <w:i w:val="false"/>
          <w:color w:val="000000"/>
          <w:sz w:val="22"/>
        </w:rPr>
        <w:t xml:space="preserve"> at no cost to the parents, and transportation will be provided by the public school district in which the statewide voluntary preschool provider is located from the school district’s statewide voluntary preschool programs funding. Children whose parents are not Iowa residents may access the statewide voluntary preschool programs, if space is available, through a tuition and transportation agreement with the public school district in which the statewide voluntary preschool program provider is located.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2">
        <w:r>
          <w:rPr>
            <w:rStyle w:val="Hyperlink"/>
            <w:rFonts w:ascii="Times New Roman" w:hAnsi="Times New Roman"/>
            <w:b w:val="false"/>
            <w:i w:val="false"/>
            <w:color w:val="000000"/>
            <w:sz w:val="22"/>
          </w:rPr>
          <w:t>282.34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2946C</w:t>
      </w:r>
      <w:r>
        <w:rPr>
          <w:rFonts w:ascii="Times New Roman" w:hAnsi="Times New Roman"/>
          <w:b w:val="false"/>
          <w:i w:val="false"/>
          <w:color w:val="000000"/>
          <w:sz w:val="21"/>
        </w:rPr>
        <w:t xml:space="preserve"> (Notice ARC 2852C, IAB 12/7/16)</w:t>
      </w:r>
      <w:r>
        <w:rPr>
          <w:rFonts w:ascii="Times New Roman" w:hAnsi="Times New Roman"/>
          <w:b w:val="false"/>
          <w:i w:val="false"/>
          <w:color w:val="000000"/>
          <w:sz w:val="21"/>
        </w:rPr>
        <w:t>, IAB 2/15/17, effective 3/22/17]</w:t>
      </w:r>
    </w:p>
    <w:p>
      <w:pPr>
        <w:spacing w:before="0" w:after="0"/>
        <w:ind w:left="120"/>
        <w:jc w:val="center"/>
      </w:pPr>
      <w:r>
        <w:rPr>
          <w:rFonts w:ascii="Times New Roman" w:hAnsi="Times New Roman"/>
          <w:b w:val="false"/>
          <w:i w:val="false"/>
          <w:color w:val="000000"/>
          <w:sz w:val="21"/>
        </w:rPr>
        <w:t>[Filed ARC 7656C</w:t>
      </w:r>
      <w:r>
        <w:rPr>
          <w:rFonts w:ascii="Times New Roman" w:hAnsi="Times New Roman"/>
          <w:b w:val="false"/>
          <w:i w:val="false"/>
          <w:color w:val="000000"/>
          <w:sz w:val="21"/>
        </w:rPr>
        <w:t xml:space="preserve"> (Notice ARC 7162C, IAB 12/13/23)</w:t>
      </w:r>
      <w:r>
        <w:rPr>
          <w:rFonts w:ascii="Times New Roman" w:hAnsi="Times New Roman"/>
          <w:b w:val="false"/>
          <w:i w:val="false"/>
          <w:color w:val="000000"/>
          <w:sz w:val="21"/>
        </w:rPr>
        <w:t>, IAB 3/6/24, effective 4/10/24]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37C.1.pdf" Type="http://schemas.openxmlformats.org/officeDocument/2006/relationships/hyperlink" Id="rId5"/>
    <Relationship TargetMode="External" Target="https://www.legis.iowa.gov/docs/ico/chapter/282.34.pdf" Type="http://schemas.openxmlformats.org/officeDocument/2006/relationships/hyperlink" Id="rId6"/>
    <Relationship TargetMode="External" Target="https://www.legis.iowa.gov/docs/ico/chapter/282.34.pdf" Type="http://schemas.openxmlformats.org/officeDocument/2006/relationships/hyperlink" Id="rId7"/>
    <Relationship TargetMode="External" Target="https://www.legis.iowa.gov/docs/ico/chapter/282.34.pdf" Type="http://schemas.openxmlformats.org/officeDocument/2006/relationships/hyperlink" Id="rId8"/>
    <Relationship TargetMode="External" Target="https://www.legis.iowa.gov/docs/ico/chapter/282.pdf" Type="http://schemas.openxmlformats.org/officeDocument/2006/relationships/hyperlink" Id="rId9"/>
    <Relationship TargetMode="External" Target="https://www.legis.iowa.gov/docs/iac/chapter/281.41.pdf" Type="http://schemas.openxmlformats.org/officeDocument/2006/relationships/hyperlink" Id="rId10"/>
    <Relationship TargetMode="External" Target="https://www.legis.iowa.gov/docs/iac/chapter/281.16.pdf" Type="http://schemas.openxmlformats.org/officeDocument/2006/relationships/hyperlink" Id="rId11"/>
    <Relationship TargetMode="External" Target="https://www.legis.iowa.gov/docs/ico/chapter/282.34.pdf" Type="http://schemas.openxmlformats.org/officeDocument/2006/relationships/hyperlink"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