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HIGH SCHOOL EQUIVALENCY DIPLOMA</w:t>
      </w:r>
    </w:p>
    <w:p>
      <w:pPr>
        <w:spacing w:before="0" w:after="0"/>
        <w:ind w:left="120"/>
        <w:jc w:val="center"/>
      </w:pPr>
      <w:r>
        <w:rPr>
          <w:rFonts w:ascii="Times New Roman" w:hAnsi="Times New Roman"/>
          <w:b w:val="false"/>
          <w:i w:val="false"/>
          <w:color w:val="000000"/>
          <w:sz w:val="14"/>
        </w:rPr>
        <w:t>[Prior to 9/7/88, see Public Instruction Department[670]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281—32.1</w:t>
      </w:r>
      <w:r>
        <w:rPr>
          <w:rFonts w:ascii="Times New Roman" w:hAnsi="Times New Roman"/>
          <w:b/>
          <w:i w:val="false"/>
          <w:color w:val="000000"/>
          <w:sz w:val="22"/>
        </w:rPr>
        <w:t xml:space="preserve">(259A)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education and literacy program” </w:t>
      </w:r>
      <w:r>
        <w:rPr>
          <w:rFonts w:ascii="Times New Roman" w:hAnsi="Times New Roman"/>
          <w:b w:val="false"/>
          <w:i w:val="false"/>
          <w:color w:val="000000"/>
          <w:sz w:val="22"/>
        </w:rPr>
        <w:t xml:space="preserve">means the same as defined in </w:t>
      </w:r>
      <w:hyperlink r:id="rId5">
        <w:r>
          <w:rPr>
            <w:rStyle w:val="Hyperlink"/>
            <w:rFonts w:ascii="Times New Roman" w:hAnsi="Times New Roman"/>
            <w:b w:val="false"/>
            <w:i w:val="false"/>
            <w:color w:val="000000"/>
            <w:sz w:val="22"/>
          </w:rPr>
          <w:t>877—Chapter 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means any defined option established under this chapter for the completion of a high school equivalency diploma that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test” </w:t>
      </w:r>
      <w:r>
        <w:rPr>
          <w:rFonts w:ascii="Times New Roman" w:hAnsi="Times New Roman"/>
          <w:b w:val="false"/>
          <w:i w:val="false"/>
          <w:color w:val="000000"/>
          <w:sz w:val="22"/>
        </w:rPr>
        <w:t>means the entire battery of subtests given under a high school equivalency test adopted by the department and administered at department-approved testing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“Contact hour” </w:t>
      </w:r>
      <w:r>
        <w:rPr>
          <w:rFonts w:ascii="Times New Roman" w:hAnsi="Times New Roman"/>
          <w:b w:val="false"/>
          <w:i w:val="false"/>
          <w:color w:val="000000"/>
          <w:sz w:val="22"/>
        </w:rPr>
        <w:t xml:space="preserve">means the same as described in </w:t>
      </w:r>
      <w:hyperlink r:id="rId6">
        <w:r>
          <w:rPr>
            <w:rStyle w:val="Hyperlink"/>
            <w:rFonts w:ascii="Times New Roman" w:hAnsi="Times New Roman"/>
            <w:b w:val="false"/>
            <w:i w:val="false"/>
            <w:color w:val="000000"/>
            <w:sz w:val="22"/>
          </w:rPr>
          <w:t>281—Chapter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enrollment” </w:t>
      </w:r>
      <w:r>
        <w:rPr>
          <w:rFonts w:ascii="Times New Roman" w:hAnsi="Times New Roman"/>
          <w:b w:val="false"/>
          <w:i w:val="false"/>
          <w:color w:val="000000"/>
          <w:sz w:val="22"/>
        </w:rPr>
        <w:t>means a participant has not exited from the approved program as defined in the federal Workforce Innovation and Opportunity Act (34 CFR §361.150(c)), effective December 13,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“Demonstrated competence” </w:t>
      </w:r>
      <w:r>
        <w:rPr>
          <w:rFonts w:ascii="Times New Roman" w:hAnsi="Times New Roman"/>
          <w:b w:val="false"/>
          <w:i w:val="false"/>
          <w:color w:val="000000"/>
          <w:sz w:val="22"/>
        </w:rPr>
        <w:t xml:space="preserve">means the ability to apply the knowledge and skills required to perform critical functions specific to a program of study. Competencies that measure the attainment of the knowledge, skills, and abilities equivalent to a high school program of study are to be aligned with content standards for adult education as referenced in </w:t>
      </w:r>
      <w:hyperlink r:id="rId7">
        <w:r>
          <w:rPr>
            <w:rStyle w:val="Hyperlink"/>
            <w:rFonts w:ascii="Times New Roman" w:hAnsi="Times New Roman"/>
            <w:b w:val="false"/>
            <w:i w:val="false"/>
            <w:color w:val="000000"/>
            <w:sz w:val="22"/>
          </w:rPr>
          <w:t>877—Chapter 32</w:t>
        </w:r>
      </w:hyperlink>
      <w:r>
        <w:rPr>
          <w:rFonts w:ascii="Times New Roman" w:hAnsi="Times New Roman"/>
          <w:b w:val="false"/>
          <w:i w:val="false"/>
          <w:color w:val="000000"/>
          <w:sz w:val="22"/>
        </w:rPr>
        <w:t xml:space="preserve"> and twenty-first century learning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an entity as described in </w:t>
      </w:r>
      <w:hyperlink r:id="rId8">
        <w:r>
          <w:rPr>
            <w:rStyle w:val="Hyperlink"/>
            <w:rFonts w:ascii="Times New Roman" w:hAnsi="Times New Roman"/>
            <w:b w:val="false"/>
            <w:i w:val="false"/>
            <w:color w:val="000000"/>
            <w:sz w:val="22"/>
          </w:rPr>
          <w:t>877—Chapter 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school credit” </w:t>
      </w:r>
      <w:r>
        <w:rPr>
          <w:rFonts w:ascii="Times New Roman" w:hAnsi="Times New Roman"/>
          <w:b w:val="false"/>
          <w:i w:val="false"/>
          <w:color w:val="000000"/>
          <w:sz w:val="22"/>
        </w:rPr>
        <w:t xml:space="preserve">means credit awarded for the successful completion of a secondary course or demonstrated competence equivalent to one-half unit as defined in </w:t>
      </w:r>
      <w:hyperlink r:id="rId9">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school equivalency diploma” </w:t>
      </w:r>
      <w:r>
        <w:rPr>
          <w:rFonts w:ascii="Times New Roman" w:hAnsi="Times New Roman"/>
          <w:b w:val="false"/>
          <w:i w:val="false"/>
          <w:color w:val="000000"/>
          <w:sz w:val="22"/>
        </w:rPr>
        <w:t xml:space="preserve">means the credential granted by the department to adults who did not graduate from high school and are unable to receive a high school diploma through traditional means but who are able to demonstrate attainment of the knowledge, skills, and abilities that are equivalent to those that would be attained in a high school program of study pursuant to this chapter. Commencing July 1, 2026, an adult must pass the examination described in Iowa Code section </w:t>
      </w:r>
      <w:hyperlink r:id="rId10">
        <w:r>
          <w:rPr>
            <w:rStyle w:val="Hyperlink"/>
            <w:rFonts w:ascii="Times New Roman" w:hAnsi="Times New Roman"/>
            <w:b w:val="false"/>
            <w:i w:val="false"/>
            <w:color w:val="000000"/>
            <w:sz w:val="22"/>
          </w:rPr>
          <w:t>280.9A(1A)</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369</w:t>
      </w:r>
      <w:r>
        <w:rPr>
          <w:rFonts w:ascii="Times New Roman" w:hAnsi="Times New Roman"/>
          <w:b w:val="false"/>
          <w:i w:val="false"/>
          <w:color w:val="000000"/>
          <w:sz w:val="22"/>
        </w:rPr>
        <w:t>, to receive this credential.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 xml:space="preserve">means an individual who satisfies the provisions of </w:t>
      </w:r>
      <w:hyperlink r:id="rId11">
        <w:r>
          <w:rPr>
            <w:rStyle w:val="Hyperlink"/>
            <w:rFonts w:ascii="Times New Roman" w:hAnsi="Times New Roman"/>
            <w:b w:val="false"/>
            <w:i w:val="false"/>
            <w:color w:val="000000"/>
            <w:sz w:val="22"/>
          </w:rPr>
          <w:t>281—subrule 21.2(11)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“Twenty-first century learning skills” </w:t>
      </w:r>
      <w:r>
        <w:rPr>
          <w:rFonts w:ascii="Times New Roman" w:hAnsi="Times New Roman"/>
          <w:b w:val="false"/>
          <w:i w:val="false"/>
          <w:color w:val="000000"/>
          <w:sz w:val="22"/>
        </w:rPr>
        <w:t xml:space="preserve">means the same as defined in </w:t>
      </w:r>
      <w:hyperlink r:id="rId12">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“Work-site learning” </w:t>
      </w:r>
      <w:r>
        <w:rPr>
          <w:rFonts w:ascii="Times New Roman" w:hAnsi="Times New Roman"/>
          <w:b w:val="false"/>
          <w:i w:val="false"/>
          <w:color w:val="000000"/>
          <w:sz w:val="22"/>
        </w:rPr>
        <w:t>means a planned and supervised work experience, equivalent to the training services defined in the federal Workforce Innovation and Opportunity Act (29 U.S.C. §3174(c)(3)(D)), effective December 13, 2023, that follows workplace laws and regulations, including the minimum wage prescribed by Iowa law or the federal Fair Labor Standards Act,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i w:val="false"/>
          <w:color w:val="000000"/>
          <w:sz w:val="16"/>
        </w:rPr>
        <w:t>ARC 9808C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281—32.2</w:t>
      </w:r>
      <w:r>
        <w:rPr>
          <w:rFonts w:ascii="Times New Roman" w:hAnsi="Times New Roman"/>
          <w:b/>
          <w:i w:val="false"/>
          <w:color w:val="000000"/>
          <w:sz w:val="22"/>
        </w:rPr>
        <w:t xml:space="preserve">(259A) </w:t>
      </w:r>
      <w:r>
        <w:rPr>
          <w:rFonts w:ascii="Times New Roman" w:hAnsi="Times New Roman"/>
          <w:b/>
          <w:i w:val="false"/>
          <w:color w:val="000000"/>
          <w:sz w:val="22"/>
        </w:rPr>
        <w:t xml:space="preserve">Eligibility to participate.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val="false"/>
          <w:color w:val="000000"/>
          <w:sz w:val="22"/>
        </w:rPr>
        <w:t>No one under 16 years and nine months of age is allowed to participate in an approved program, with the exception of a person who is at least 16 years of age and satisfies one or more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resident of an Iowa juvenile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an active participant in Job Corps;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under the supervision of a probation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val="false"/>
          <w:color w:val="000000"/>
          <w:sz w:val="22"/>
        </w:rPr>
        <w:t>Anyone 16 years and nine months of age or older who is not enrolled in a secondary school nor is a high school graduate is permitted to apply for enrollment in an approved program. The requirements for admission into an approved program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age and, for an applicant under 18 years of age, consent of the applicant’s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 applicant under 19 years of age, verification of nonenrolled status from the last high school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a comprehensive intake by an eligible institution. For purposes of this chapter, the intake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the applicant’s reading level and career interests and aptitudes.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Discussion of program options available to the applicant regarding completion of a high school equivalency diploma, to include the requirements, expectations, benefits, and limitations of each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Development of a plan for the completion of one of the options discussed and subsequent activities necessary to work toward an identified goal, career pathway, occupation, or further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participant who successfully completes an approved program will not be awarded a high school equivalency diploma until the participant reaches 18 years of age and the participant’s ninth grade class has graduated from high school. This subrule does not apply to eligible participants described in paragraphs </w:t>
      </w:r>
      <w:hyperlink r:id="rId13">
        <w:r>
          <w:rPr>
            <w:rStyle w:val="Hyperlink"/>
            <w:rFonts w:ascii="Times New Roman" w:hAnsi="Times New Roman"/>
            <w:b w:val="false"/>
            <w:i w:val="false"/>
            <w:color w:val="000000"/>
            <w:sz w:val="22"/>
          </w:rPr>
          <w:t>32.2(1)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who may receive their diploma at any time after completion.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281—32.3</w:t>
      </w:r>
      <w:r>
        <w:rPr>
          <w:rFonts w:ascii="Times New Roman" w:hAnsi="Times New Roman"/>
          <w:b/>
          <w:i w:val="false"/>
          <w:color w:val="000000"/>
          <w:sz w:val="22"/>
        </w:rPr>
        <w:t xml:space="preserve">(259A) </w:t>
      </w:r>
      <w:r>
        <w:rPr>
          <w:rFonts w:ascii="Times New Roman" w:hAnsi="Times New Roman"/>
          <w:b/>
          <w:i w:val="false"/>
          <w:color w:val="000000"/>
          <w:sz w:val="22"/>
        </w:rPr>
        <w:t xml:space="preserve">By whom administered. </w:t>
      </w:r>
      <w:r>
        <w:rPr>
          <w:rFonts w:ascii="Times New Roman" w:hAnsi="Times New Roman"/>
          <w:b w:val="false"/>
          <w:i w:val="false"/>
          <w:color w:val="000000"/>
          <w:sz w:val="22"/>
        </w:rPr>
        <w:t>An approved program is to be administered by an eligible institution, which may provide one or more approved programs. The department will maintain a process by which an eligible institution may apply to offer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281—32.4</w:t>
      </w:r>
      <w:r>
        <w:rPr>
          <w:rFonts w:ascii="Times New Roman" w:hAnsi="Times New Roman"/>
          <w:b/>
          <w:i w:val="false"/>
          <w:color w:val="000000"/>
          <w:sz w:val="22"/>
        </w:rPr>
        <w:t xml:space="preserve">(259A) </w:t>
      </w:r>
      <w:r>
        <w:rPr>
          <w:rFonts w:ascii="Times New Roman" w:hAnsi="Times New Roman"/>
          <w:b/>
          <w:i w:val="false"/>
          <w:color w:val="000000"/>
          <w:sz w:val="22"/>
        </w:rPr>
        <w:t xml:space="preserve">Diploma, transcript, verification fees. </w:t>
      </w:r>
      <w:r>
        <w:rPr>
          <w:rFonts w:ascii="Times New Roman" w:hAnsi="Times New Roman"/>
          <w:b w:val="false"/>
          <w:i w:val="false"/>
          <w:color w:val="000000"/>
          <w:sz w:val="22"/>
        </w:rPr>
        <w:t>Upon payment to the department or its designee of a fee for the actual cost of production and distribution of a high school equivalency diploma, transcript, or verification letter not to exceed $20 per document, the department will issue a high school equivalency diploma, transcript, or verification letter to an applicant who has achieved the minimum standards established in this chapter. Upon payment to the department or its designee of a fee for the actual cost of verification and issuance of a duplicate diploma, transcript, and verification letter not to exceed $20, the department or its designee will issue a duplicate diploma, transcript, or provide verification to the applicant or person authorized by the applicant to request these documents. Approved providers must track and submit to the department evidence of the applicant’s completion of the program requirements for the issuance of a high school equivalency diploma.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281—32.5</w:t>
      </w:r>
      <w:r>
        <w:rPr>
          <w:rFonts w:ascii="Times New Roman" w:hAnsi="Times New Roman"/>
          <w:b/>
          <w:i w:val="false"/>
          <w:color w:val="000000"/>
          <w:sz w:val="22"/>
        </w:rPr>
        <w:t xml:space="preserve">(259A) </w:t>
      </w:r>
      <w:r>
        <w:rPr>
          <w:rFonts w:ascii="Times New Roman" w:hAnsi="Times New Roman"/>
          <w:b/>
          <w:i w:val="false"/>
          <w:color w:val="000000"/>
          <w:sz w:val="22"/>
        </w:rPr>
        <w:t xml:space="preserve">Application, course, and testing fees. </w:t>
      </w:r>
      <w:r>
        <w:rPr>
          <w:rFonts w:ascii="Times New Roman" w:hAnsi="Times New Roman"/>
          <w:b w:val="false"/>
          <w:i w:val="false"/>
          <w:color w:val="000000"/>
          <w:sz w:val="22"/>
        </w:rPr>
        <w:t>The applicant or the applicant’s supporting agency is to pay an application, course, or testing fee to cover only necessary and reasonable testing or program costs. Fees paid directly to an approved program are considered program income and are to adhere to the federal Office for Management and Budget Uniform Guidance cost principles (as codified in 2 CFR §200.80), effective December 13,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281—32.6</w:t>
      </w:r>
      <w:r>
        <w:rPr>
          <w:rFonts w:ascii="Times New Roman" w:hAnsi="Times New Roman"/>
          <w:b/>
          <w:i w:val="false"/>
          <w:color w:val="000000"/>
          <w:sz w:val="22"/>
        </w:rPr>
        <w:t xml:space="preserve">(259A) </w:t>
      </w:r>
      <w:r>
        <w:rPr>
          <w:rFonts w:ascii="Times New Roman" w:hAnsi="Times New Roman"/>
          <w:b/>
          <w:i w:val="false"/>
          <w:color w:val="000000"/>
          <w:sz w:val="22"/>
        </w:rPr>
        <w:t xml:space="preserve">High school equivalency diploma program based on a department-approved test. </w:t>
      </w:r>
      <w:r>
        <w:rPr>
          <w:rFonts w:ascii="Times New Roman" w:hAnsi="Times New Roman"/>
          <w:b w:val="false"/>
          <w:i w:val="false"/>
          <w:color w:val="000000"/>
          <w:sz w:val="22"/>
        </w:rPr>
        <w:t>The department will award a high school equivalency diploma to an applicant who achieves the appropriate minimum standard scores on an approved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color w:val="000000"/>
          <w:sz w:val="22"/>
        </w:rPr>
        <w:t xml:space="preserve">Validity of test scores. </w:t>
      </w:r>
      <w:r>
        <w:rPr>
          <w:rFonts w:ascii="Times New Roman" w:hAnsi="Times New Roman"/>
          <w:b w:val="false"/>
          <w:i w:val="false"/>
          <w:color w:val="000000"/>
          <w:sz w:val="22"/>
        </w:rPr>
        <w:t>Scores on an approved test remain valid for a period of five years from the date of the first subtest taken. If an applicant has not earned a high school equivalency diploma within this five-year period, the applicant must retake any expired subtest. The only exception is for test series that expire prior to the five-year period, in which case all previously taken subtests are void.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color w:val="000000"/>
          <w:sz w:val="22"/>
        </w:rPr>
        <w:t xml:space="preserve">Retest. </w:t>
      </w:r>
      <w:r>
        <w:rPr>
          <w:rFonts w:ascii="Times New Roman" w:hAnsi="Times New Roman"/>
          <w:b w:val="false"/>
          <w:i w:val="false"/>
          <w:color w:val="000000"/>
          <w:sz w:val="22"/>
        </w:rPr>
        <w:t>Any applicant not achieving the minimum standard test score on any subtest in effect at the time of testing is permitted to apply for retest. Applicants may retest twice per calendar year, provided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period of three months from the date of initial testing has elapsed;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completes instruction in an adult education and literacy program in each subject area to be retested. This instruction is to be certified by an official of the adult education and literacy program provider to the test administrator authorized to release the retest.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281—32.7</w:t>
      </w:r>
      <w:r>
        <w:rPr>
          <w:rFonts w:ascii="Times New Roman" w:hAnsi="Times New Roman"/>
          <w:b/>
          <w:i w:val="false"/>
          <w:color w:val="000000"/>
          <w:sz w:val="22"/>
        </w:rPr>
        <w:t xml:space="preserve">(259A) </w:t>
      </w:r>
      <w:r>
        <w:rPr>
          <w:rFonts w:ascii="Times New Roman" w:hAnsi="Times New Roman"/>
          <w:b/>
          <w:i w:val="false"/>
          <w:color w:val="000000"/>
          <w:sz w:val="22"/>
        </w:rPr>
        <w:t xml:space="preserve">High school equivalency diploma program based on attainment of high school credits. </w:t>
      </w:r>
      <w:r>
        <w:rPr>
          <w:rFonts w:ascii="Times New Roman" w:hAnsi="Times New Roman"/>
          <w:b w:val="false"/>
          <w:i w:val="false"/>
          <w:color w:val="000000"/>
          <w:sz w:val="22"/>
        </w:rPr>
        <w:t xml:space="preserve">The department will award a high school equivalency diploma to an applicant who demonstrates completion of an approved program consisting of at least 36 high school credits. The approved program will be inclusive of the graduation requirements established under </w:t>
      </w:r>
      <w:hyperlink r:id="rId14">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and consist of at least eight high school credits in English or communications; six credits in mathematics; six credits in science; six credits in social studies, including government; and ten elective credits that meet the requirements of subrule </w:t>
      </w:r>
      <w:hyperlink r:id="rId15">
        <w:r>
          <w:rPr>
            <w:rStyle w:val="Hyperlink"/>
            <w:rFonts w:ascii="Times New Roman" w:hAnsi="Times New Roman"/>
            <w:b w:val="false"/>
            <w:i w:val="false"/>
            <w:color w:val="000000"/>
            <w:sz w:val="22"/>
          </w:rPr>
          <w:t>32.7(4)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32.7(1)</w:t>
      </w:r>
      <w:r>
        <w:rPr>
          <w:rFonts w:ascii="Times New Roman" w:hAnsi="Times New Roman"/>
          <w:b w:val="false"/>
          <w:i w:val="false"/>
          <w:color w:val="000000"/>
          <w:sz w:val="22"/>
        </w:rPr>
        <w:t> </w:t>
      </w:r>
      <w:r>
        <w:rPr>
          <w:rFonts w:ascii="Times New Roman" w:hAnsi="Times New Roman"/>
          <w:b w:val="false"/>
          <w:i/>
          <w:color w:val="000000"/>
          <w:sz w:val="22"/>
        </w:rPr>
        <w:t xml:space="preserve">Award of prior credit. </w:t>
      </w:r>
      <w:r>
        <w:rPr>
          <w:rFonts w:ascii="Times New Roman" w:hAnsi="Times New Roman"/>
          <w:b w:val="false"/>
          <w:i w:val="false"/>
          <w:color w:val="000000"/>
          <w:sz w:val="22"/>
        </w:rPr>
        <w:t>The applicant is to provide certified, translated transcripts from any Iowa school district, accredited public or nonpublic high school, or regionally accredited college or university to document completion of credits earned that are equivalent to those required in an approved program established under this rule. Additional documentation may be requested to validate credits earned.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32.7(2)</w:t>
      </w:r>
      <w:r>
        <w:rPr>
          <w:rFonts w:ascii="Times New Roman" w:hAnsi="Times New Roman"/>
          <w:b w:val="false"/>
          <w:i w:val="false"/>
          <w:color w:val="000000"/>
          <w:sz w:val="22"/>
        </w:rPr>
        <w:t> </w:t>
      </w:r>
      <w:r>
        <w:rPr>
          <w:rFonts w:ascii="Times New Roman" w:hAnsi="Times New Roman"/>
          <w:b w:val="false"/>
          <w:i/>
          <w:color w:val="000000"/>
          <w:sz w:val="22"/>
        </w:rPr>
        <w:t xml:space="preserve">Minimum participation requirement. </w:t>
      </w:r>
      <w:r>
        <w:rPr>
          <w:rFonts w:ascii="Times New Roman" w:hAnsi="Times New Roman"/>
          <w:b w:val="false"/>
          <w:i w:val="false"/>
          <w:color w:val="000000"/>
          <w:sz w:val="22"/>
        </w:rPr>
        <w:t>An eligible applicant is to demonstrate competence through continuous enrollment in an approved program for a minimum of two high school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32.7(3)</w:t>
      </w:r>
      <w:r>
        <w:rPr>
          <w:rFonts w:ascii="Times New Roman" w:hAnsi="Times New Roman"/>
          <w:b w:val="false"/>
          <w:i w:val="false"/>
          <w:color w:val="000000"/>
          <w:sz w:val="22"/>
        </w:rPr>
        <w:t> </w:t>
      </w:r>
      <w:r>
        <w:rPr>
          <w:rFonts w:ascii="Times New Roman" w:hAnsi="Times New Roman"/>
          <w:b w:val="false"/>
          <w:i/>
          <w:color w:val="000000"/>
          <w:sz w:val="22"/>
        </w:rPr>
        <w:t xml:space="preserve">Minimum graduation requirements. </w:t>
      </w:r>
      <w:r>
        <w:rPr>
          <w:rFonts w:ascii="Times New Roman" w:hAnsi="Times New Roman"/>
          <w:b w:val="false"/>
          <w:i w:val="false"/>
          <w:color w:val="000000"/>
          <w:sz w:val="22"/>
        </w:rPr>
        <w:t>If the applicant is not continuously enrolled in an approved program, the applicant becomes subject to the minimum graduation requirements applicable to the date of reenrollment.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32.7(4)</w:t>
      </w:r>
      <w:r>
        <w:rPr>
          <w:rFonts w:ascii="Times New Roman" w:hAnsi="Times New Roman"/>
          <w:b w:val="false"/>
          <w:i w:val="false"/>
          <w:color w:val="000000"/>
          <w:sz w:val="22"/>
        </w:rPr>
        <w:t> </w:t>
      </w:r>
      <w:r>
        <w:rPr>
          <w:rFonts w:ascii="Times New Roman" w:hAnsi="Times New Roman"/>
          <w:b w:val="false"/>
          <w:i/>
          <w:color w:val="000000"/>
          <w:sz w:val="22"/>
        </w:rPr>
        <w:t xml:space="preserve">Electives.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Coursework for electives will align with twenty-first century learning skills and be classified in one of the following five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Civic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Technology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Financial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Employability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Work-site learning may be counted toward an elective,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prior work-site learning will be evaluated using a state-developed assessment tool and may be awarded a maximum of two high school credits. Credit earned for prior work-site learning will not be counted toward the minimum participation requirement, as described in subrule </w:t>
      </w:r>
      <w:hyperlink r:id="rId16">
        <w:r>
          <w:rPr>
            <w:rStyle w:val="Hyperlink"/>
            <w:rFonts w:ascii="Times New Roman" w:hAnsi="Times New Roman"/>
            <w:b w:val="false"/>
            <w:i w:val="false"/>
            <w:color w:val="000000"/>
            <w:sz w:val="22"/>
          </w:rPr>
          <w:t>32.7(2)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work-site learning will be evaluated using a state-developed assessment tool and may be awarded a maximum of two high school credits. Credit earned for current work-site learning may be counted toward the minimum participation requirement, as described in subrule </w:t>
      </w:r>
      <w:hyperlink r:id="rId17">
        <w:r>
          <w:rPr>
            <w:rStyle w:val="Hyperlink"/>
            <w:rFonts w:ascii="Times New Roman" w:hAnsi="Times New Roman"/>
            <w:b w:val="false"/>
            <w:i w:val="false"/>
            <w:color w:val="000000"/>
            <w:sz w:val="22"/>
          </w:rPr>
          <w:t>32.7(2)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32.7(5)</w:t>
      </w:r>
      <w:r>
        <w:rPr>
          <w:rFonts w:ascii="Times New Roman" w:hAnsi="Times New Roman"/>
          <w:b w:val="false"/>
          <w:i w:val="false"/>
          <w:color w:val="000000"/>
          <w:sz w:val="22"/>
        </w:rPr>
        <w:t> </w:t>
      </w:r>
      <w:r>
        <w:rPr>
          <w:rFonts w:ascii="Times New Roman" w:hAnsi="Times New Roman"/>
          <w:b w:val="false"/>
          <w:i/>
          <w:color w:val="000000"/>
          <w:sz w:val="22"/>
        </w:rPr>
        <w:t xml:space="preserve">Postsecondary credit. </w:t>
      </w:r>
      <w:r>
        <w:rPr>
          <w:rFonts w:ascii="Times New Roman" w:hAnsi="Times New Roman"/>
          <w:b w:val="false"/>
          <w:i w:val="false"/>
          <w:color w:val="000000"/>
          <w:sz w:val="22"/>
        </w:rPr>
        <w:t>Credit awarded by a regionally accredited postsecondary institution for the successful completion of a course that applies toward the requirements of a postsecondary credential, including a certificate or diploma, or associate, bachelor, or graduate-level degree program, will be accepted to fulfill the requirements for the satisfactory completion of a program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postsecondary semester credit or its equivalent is equal to one-third high school credit. The resulting high school credit may be used to satisfy either a core or elective credit requirement of an approved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Twenty contact hours of noncredit postsecondary coursework is equal to one-third high school credit provided the coursework is aligned to regional career pathways and occupational needs. This credit can be used to satisfy an elective credit requirement of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281—32.8</w:t>
      </w:r>
      <w:r>
        <w:rPr>
          <w:rFonts w:ascii="Times New Roman" w:hAnsi="Times New Roman"/>
          <w:b/>
          <w:i w:val="false"/>
          <w:color w:val="000000"/>
          <w:sz w:val="22"/>
        </w:rPr>
        <w:t xml:space="preserve">(259A) </w:t>
      </w:r>
      <w:r>
        <w:rPr>
          <w:rFonts w:ascii="Times New Roman" w:hAnsi="Times New Roman"/>
          <w:b/>
          <w:i w:val="false"/>
          <w:color w:val="000000"/>
          <w:sz w:val="22"/>
        </w:rPr>
        <w:t xml:space="preserve">High school equivalency diploma program based on postsecondary degree.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w:t>
      </w:r>
      <w:r>
        <w:rPr>
          <w:rFonts w:ascii="Times New Roman" w:hAnsi="Times New Roman"/>
          <w:b w:val="false"/>
          <w:i w:val="false"/>
          <w:color w:val="000000"/>
          <w:sz w:val="22"/>
        </w:rPr>
        <w:t> </w:t>
      </w:r>
      <w:r>
        <w:rPr>
          <w:rFonts w:ascii="Times New Roman" w:hAnsi="Times New Roman"/>
          <w:b w:val="false"/>
          <w:i/>
          <w:color w:val="000000"/>
          <w:sz w:val="22"/>
        </w:rPr>
        <w:t xml:space="preserve">Postsecondary degree from a United States postsecondary institution. </w:t>
      </w:r>
      <w:r>
        <w:rPr>
          <w:rFonts w:ascii="Times New Roman" w:hAnsi="Times New Roman"/>
          <w:b w:val="false"/>
          <w:i w:val="false"/>
          <w:color w:val="000000"/>
          <w:sz w:val="22"/>
        </w:rPr>
        <w:t>The department will award a high school equivalency diploma to a resident applicant who presents an associate degree or higher that includes general education coursework and is awarded by a regionally accredited postsecondary institution. The applicant is to provide official transcripts to an adult education and literacy program to document completion of 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32.8(2)</w:t>
      </w:r>
      <w:r>
        <w:rPr>
          <w:rFonts w:ascii="Times New Roman" w:hAnsi="Times New Roman"/>
          <w:b w:val="false"/>
          <w:i w:val="false"/>
          <w:color w:val="000000"/>
          <w:sz w:val="22"/>
        </w:rPr>
        <w:t> </w:t>
      </w:r>
      <w:r>
        <w:rPr>
          <w:rFonts w:ascii="Times New Roman" w:hAnsi="Times New Roman"/>
          <w:b w:val="false"/>
          <w:i/>
          <w:color w:val="000000"/>
          <w:sz w:val="22"/>
        </w:rPr>
        <w:t xml:space="preserve">Postsecondary degree from a foreign postsecondary institution. </w:t>
      </w:r>
      <w:r>
        <w:rPr>
          <w:rFonts w:ascii="Times New Roman" w:hAnsi="Times New Roman"/>
          <w:b w:val="false"/>
          <w:i w:val="false"/>
          <w:color w:val="000000"/>
          <w:sz w:val="22"/>
        </w:rPr>
        <w:t>The department will award a high school equivalency diploma to a resident applicant who presents a postsecondary degree equivalent to an associate degree or higher, provided that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presents to an adult education and literacy program an official transcript from an institution of higher education attesting to the completion of the program of study for the postsecondary degree. If the transcript is not in English, the applicant will also provide a certified translation.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a United States citizen or meets both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Demonstrates proficiency in speaking, listening, reading, and writing as defined by the department’s approved English language proficiency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course in government or civics education as a component of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259A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10/6/65, amended 9/18/69, 7/12/72]</w:t>
      </w:r>
    </w:p>
    <w:p>
      <w:pPr>
        <w:spacing w:before="0" w:after="0"/>
        <w:ind w:left="120"/>
        <w:jc w:val="center"/>
      </w:pPr>
      <w:r>
        <w:rPr>
          <w:rFonts w:ascii="Times New Roman" w:hAnsi="Times New Roman"/>
          <w:b w:val="false"/>
          <w:i w:val="false"/>
          <w:color w:val="000000"/>
          <w:sz w:val="21"/>
        </w:rPr>
        <w:t>[Filed 11/20/81, Notice 8/19/81—published 12/9/81, effective 1/13/82]</w:t>
      </w:r>
    </w:p>
    <w:p>
      <w:pPr>
        <w:spacing w:before="0" w:after="0"/>
        <w:ind w:left="120"/>
        <w:jc w:val="center"/>
      </w:pPr>
      <w:r>
        <w:rPr>
          <w:rFonts w:ascii="Times New Roman" w:hAnsi="Times New Roman"/>
          <w:b w:val="false"/>
          <w:i w:val="false"/>
          <w:color w:val="000000"/>
          <w:sz w:val="21"/>
        </w:rPr>
        <w:t>[Filed 12/13/85, Notice 11/6/85—published 1/1/86, effective 2/5/86]</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ARC 9903B</w:t>
      </w:r>
      <w:r>
        <w:rPr>
          <w:rFonts w:ascii="Times New Roman" w:hAnsi="Times New Roman"/>
          <w:b w:val="false"/>
          <w:i w:val="false"/>
          <w:color w:val="000000"/>
          <w:sz w:val="21"/>
        </w:rPr>
        <w:t xml:space="preserve"> (Notice ARC 9683B, IAB 8/24/11)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0688C</w:t>
      </w:r>
      <w:r>
        <w:rPr>
          <w:rFonts w:ascii="Times New Roman" w:hAnsi="Times New Roman"/>
          <w:b w:val="false"/>
          <w:i w:val="false"/>
          <w:color w:val="000000"/>
          <w:sz w:val="21"/>
        </w:rPr>
        <w:t xml:space="preserve"> (Notice ARC 0510C,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3630C</w:t>
      </w:r>
      <w:r>
        <w:rPr>
          <w:rFonts w:ascii="Times New Roman" w:hAnsi="Times New Roman"/>
          <w:b w:val="false"/>
          <w:i w:val="false"/>
          <w:color w:val="000000"/>
          <w:sz w:val="21"/>
        </w:rPr>
        <w:t xml:space="preserve"> (Notice ARC 3365C, IAB 10/11/17)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7655C</w:t>
      </w:r>
      <w:r>
        <w:rPr>
          <w:rFonts w:ascii="Times New Roman" w:hAnsi="Times New Roman"/>
          <w:b w:val="false"/>
          <w:i w:val="false"/>
          <w:color w:val="000000"/>
          <w:sz w:val="21"/>
        </w:rPr>
        <w:t xml:space="preserve"> (Notice ARC 7160C, IAB 12/13/23)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[Filed ARC 9808C</w:t>
      </w:r>
      <w:r>
        <w:rPr>
          <w:rFonts w:ascii="Times New Roman" w:hAnsi="Times New Roman"/>
          <w:b w:val="false"/>
          <w:i w:val="false"/>
          <w:color w:val="000000"/>
          <w:sz w:val="21"/>
        </w:rPr>
        <w:t xml:space="preserve"> (Notice ARC 9599C, IAB 10/1/25)</w:t>
      </w:r>
      <w:r>
        <w:rPr>
          <w:rFonts w:ascii="Times New Roman" w:hAnsi="Times New Roman"/>
          <w:b w:val="false"/>
          <w:i w:val="false"/>
          <w:color w:val="000000"/>
          <w:sz w:val="21"/>
        </w:rPr>
        <w:t>, IAB 12/10/25, effective 1/14/26]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7.32.pdf" Type="http://schemas.openxmlformats.org/officeDocument/2006/relationships/hyperlink" Id="rId5"/>
    <Relationship TargetMode="External" Target="https://www.legis.iowa.gov/docs/iac/chapter/281.21.pdf" Type="http://schemas.openxmlformats.org/officeDocument/2006/relationships/hyperlink" Id="rId6"/>
    <Relationship TargetMode="External" Target="https://www.legis.iowa.gov/docs/iac/chapter/877.32.pdf" Type="http://schemas.openxmlformats.org/officeDocument/2006/relationships/hyperlink" Id="rId7"/>
    <Relationship TargetMode="External" Target="https://www.legis.iowa.gov/docs/iac/chapter/877.32.pdf" Type="http://schemas.openxmlformats.org/officeDocument/2006/relationships/hyperlink" Id="rId8"/>
    <Relationship TargetMode="External" Target="https://www.legis.iowa.gov/docs/iac/chapter/281.12.pdf" Type="http://schemas.openxmlformats.org/officeDocument/2006/relationships/hyperlink" Id="rId9"/>
    <Relationship TargetMode="External" Target="https://www.legis.iowa.gov/docs/ico/chapter/280.9A.pdf" Type="http://schemas.openxmlformats.org/officeDocument/2006/relationships/hyperlink" Id="rId10"/>
    <Relationship TargetMode="External" Target="https://www.legis.iowa.gov/docs/iac/rule/281.21.2.pdf" Type="http://schemas.openxmlformats.org/officeDocument/2006/relationships/hyperlink" Id="rId11"/>
    <Relationship TargetMode="External" Target="https://www.legis.iowa.gov/docs/iac/chapter/281.12.pdf" Type="http://schemas.openxmlformats.org/officeDocument/2006/relationships/hyperlink" Id="rId12"/>
    <Relationship TargetMode="External" Target="https://www.legis.iowa.gov/docs/iac/rule/281.32.2.pdf" Type="http://schemas.openxmlformats.org/officeDocument/2006/relationships/hyperlink" Id="rId13"/>
    <Relationship TargetMode="External" Target="https://www.legis.iowa.gov/docs/iac/chapter/281.12.pdf" Type="http://schemas.openxmlformats.org/officeDocument/2006/relationships/hyperlink" Id="rId14"/>
    <Relationship TargetMode="External" Target="https://www.legis.iowa.gov/docs/iac/rule/281.32.7.pdf" Type="http://schemas.openxmlformats.org/officeDocument/2006/relationships/hyperlink" Id="rId15"/>
    <Relationship TargetMode="External" Target="https://www.legis.iowa.gov/docs/iac/rule/281.32.7.pdf" Type="http://schemas.openxmlformats.org/officeDocument/2006/relationships/hyperlink" Id="rId16"/>
    <Relationship TargetMode="External" Target="https://www.legis.iowa.gov/docs/iac/rule/281.32.7.pdf" Type="http://schemas.openxmlformats.org/officeDocument/2006/relationships/hyperlink" Id="rId17"/>
    <Relationship TargetMode="External" Target="https://www.legis.iowa.gov/docs/ico/chapter/259A.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