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w:t>
      </w:r>
    </w:p>
    <w:p>
      <w:pPr>
        <w:spacing w:before="0" w:after="0"/>
        <w:ind w:left="120"/>
        <w:jc w:val="center"/>
      </w:pPr>
      <w:r>
        <w:rPr>
          <w:rFonts w:ascii="Times New Roman" w:hAnsi="Times New Roman"/>
          <w:b w:val="false"/>
          <w:i w:val="false"/>
          <w:color w:val="000000"/>
          <w:sz w:val="21"/>
        </w:rPr>
        <w:t>WORKFORCE TRAINING AND ECONOMIC DEVELOPMENT FUNDS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281—27.1</w:t>
      </w:r>
      <w:r>
        <w:rPr>
          <w:rFonts w:ascii="Times New Roman" w:hAnsi="Times New Roman"/>
          <w:b/>
          <w:i w:val="false"/>
          <w:color w:val="000000"/>
          <w:sz w:val="22"/>
        </w:rPr>
        <w:t xml:space="preserve">(260C)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college”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“college” </w:t>
      </w:r>
      <w:r>
        <w:rPr>
          <w:rFonts w:ascii="Times New Roman" w:hAnsi="Times New Roman"/>
          <w:b w:val="false"/>
          <w:i w:val="false"/>
          <w:color w:val="000000"/>
          <w:sz w:val="22"/>
        </w:rPr>
        <w:t xml:space="preserve">means a community college established under Iowa Code chapter </w:t>
      </w:r>
      <w:hyperlink r:id="rId5">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“funds” </w:t>
      </w:r>
      <w:r>
        <w:rPr>
          <w:rFonts w:ascii="Times New Roman" w:hAnsi="Times New Roman"/>
          <w:b w:val="false"/>
          <w:i w:val="false"/>
          <w:color w:val="000000"/>
          <w:sz w:val="22"/>
        </w:rPr>
        <w:t xml:space="preserve">means the workforce training and economic development funds created by Iowa Code section </w:t>
      </w:r>
      <w:hyperlink r:id="rId6">
        <w:r>
          <w:rPr>
            <w:rStyle w:val="Hyperlink"/>
            <w:rFonts w:ascii="Times New Roman" w:hAnsi="Times New Roman"/>
            <w:b w:val="false"/>
            <w:i w:val="false"/>
            <w:color w:val="000000"/>
            <w:sz w:val="22"/>
          </w:rPr>
          <w:t>260C.18A</w:t>
        </w:r>
      </w:hyperlink>
      <w:r>
        <w:rPr>
          <w:rFonts w:ascii="Times New Roman" w:hAnsi="Times New Roman"/>
          <w:b w:val="false"/>
          <w:i w:val="false"/>
          <w:color w:val="000000"/>
          <w:sz w:val="22"/>
        </w:rPr>
        <w:t xml:space="preserve"> and allocated to each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a training or educational activity funded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board”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“Targeted areas” </w:t>
      </w:r>
      <w:r>
        <w:rPr>
          <w:rFonts w:ascii="Times New Roman" w:hAnsi="Times New Roman"/>
          <w:b w:val="false"/>
          <w:i w:val="false"/>
          <w:color w:val="000000"/>
          <w:sz w:val="22"/>
        </w:rPr>
        <w:t xml:space="preserve">means the areas of advanced manufacturing; information technology and insurance; alternative and renewable energy, including the alternative and renewable energy sectors listed in Iowa Code section </w:t>
      </w:r>
      <w:hyperlink r:id="rId7">
        <w:r>
          <w:rPr>
            <w:rStyle w:val="Hyperlink"/>
            <w:rFonts w:ascii="Times New Roman" w:hAnsi="Times New Roman"/>
            <w:b w:val="false"/>
            <w:i w:val="false"/>
            <w:color w:val="000000"/>
            <w:sz w:val="22"/>
          </w:rPr>
          <w:t>476.42(1)</w:t>
        </w:r>
      </w:hyperlink>
      <w:r>
        <w:rPr>
          <w:rFonts w:ascii="Times New Roman" w:hAnsi="Times New Roman"/>
          <w:b w:val="false"/>
          <w:i/>
          <w:color w:val="000000"/>
          <w:sz w:val="22"/>
        </w:rPr>
        <w:t>“a”</w:t>
      </w:r>
      <w:r>
        <w:rPr>
          <w:rFonts w:ascii="Times New Roman" w:hAnsi="Times New Roman"/>
          <w:b w:val="false"/>
          <w:i w:val="false"/>
          <w:color w:val="000000"/>
          <w:sz w:val="22"/>
        </w:rPr>
        <w:t>; and life sciences, which include the areas of biotechnology, health care technology, and nursing care technology.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281—27.2</w:t>
      </w:r>
      <w:r>
        <w:rPr>
          <w:rFonts w:ascii="Times New Roman" w:hAnsi="Times New Roman"/>
          <w:b/>
          <w:i w:val="false"/>
          <w:color w:val="000000"/>
          <w:sz w:val="22"/>
        </w:rPr>
        <w:t xml:space="preserve">(260C) </w:t>
      </w:r>
      <w:r>
        <w:rPr>
          <w:rFonts w:ascii="Times New Roman" w:hAnsi="Times New Roman"/>
          <w:b/>
          <w:i w:val="false"/>
          <w:color w:val="000000"/>
          <w:sz w:val="22"/>
        </w:rPr>
        <w:t xml:space="preserve">Funds allocation. </w:t>
      </w:r>
      <w:r>
        <w:rPr>
          <w:rFonts w:ascii="Times New Roman" w:hAnsi="Times New Roman"/>
          <w:b w:val="false"/>
          <w:i w:val="false"/>
          <w:color w:val="000000"/>
          <w:sz w:val="22"/>
        </w:rPr>
        <w:t xml:space="preserve">A fund is created and the department will allocate moneys as specified in Iowa Code section </w:t>
      </w:r>
      <w:hyperlink r:id="rId8">
        <w:r>
          <w:rPr>
            <w:rStyle w:val="Hyperlink"/>
            <w:rFonts w:ascii="Times New Roman" w:hAnsi="Times New Roman"/>
            <w:b w:val="false"/>
            <w:i w:val="false"/>
            <w:color w:val="000000"/>
            <w:sz w:val="22"/>
          </w:rPr>
          <w:t>260C.18A</w:t>
        </w:r>
      </w:hyperlink>
      <w:r>
        <w:rPr>
          <w:rFonts w:ascii="Times New Roman" w:hAnsi="Times New Roman"/>
          <w:b w:val="false"/>
          <w:i w:val="false"/>
          <w:color w:val="000000"/>
          <w:sz w:val="22"/>
        </w:rPr>
        <w:t>(2).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281—27.3</w:t>
      </w:r>
      <w:r>
        <w:rPr>
          <w:rFonts w:ascii="Times New Roman" w:hAnsi="Times New Roman"/>
          <w:b/>
          <w:i w:val="false"/>
          <w:color w:val="000000"/>
          <w:sz w:val="22"/>
        </w:rPr>
        <w:t xml:space="preserve">(260C) </w:t>
      </w:r>
      <w:r>
        <w:rPr>
          <w:rFonts w:ascii="Times New Roman" w:hAnsi="Times New Roman"/>
          <w:b/>
          <w:i w:val="false"/>
          <w:color w:val="000000"/>
          <w:sz w:val="22"/>
        </w:rPr>
        <w:t xml:space="preserve">Community college workforce and economic development fund plans and progress reports. </w:t>
      </w:r>
      <w:r>
        <w:rPr>
          <w:rFonts w:ascii="Times New Roman" w:hAnsi="Times New Roman"/>
          <w:b w:val="false"/>
          <w:i w:val="false"/>
          <w:color w:val="000000"/>
          <w:sz w:val="22"/>
        </w:rPr>
        <w:t>Each community college, to receive its allocation for the forthcoming fiscal year, is to prepare and submit to the department for state board consideration the following items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27.3(1)</w:t>
      </w:r>
      <w:r>
        <w:rPr>
          <w:rFonts w:ascii="Times New Roman" w:hAnsi="Times New Roman"/>
          <w:b w:val="false"/>
          <w:i w:val="false"/>
          <w:color w:val="000000"/>
          <w:sz w:val="22"/>
        </w:rPr>
        <w:t> </w:t>
      </w:r>
      <w:r>
        <w:rPr>
          <w:rFonts w:ascii="Times New Roman" w:hAnsi="Times New Roman"/>
          <w:b w:val="false"/>
          <w:i/>
          <w:color w:val="000000"/>
          <w:sz w:val="22"/>
        </w:rPr>
        <w:t xml:space="preserve">Workforce training and economic development fund plan. </w:t>
      </w:r>
      <w:r>
        <w:rPr>
          <w:rFonts w:ascii="Times New Roman" w:hAnsi="Times New Roman"/>
          <w:b w:val="false"/>
          <w:i w:val="false"/>
          <w:color w:val="000000"/>
          <w:sz w:val="22"/>
        </w:rPr>
        <w:t xml:space="preserve">Each college will adopt a workforce training and economic development fund plan for the upcoming year that outlines the community college’s proposed use of moneys appropriated to its fund. Plans are to be based on fiscal years and submitted to the department, in a manner prescribed by the department, by September 30 for the current fiscal year allocation. Plans are to describe how the college proposes to allocate funds to support individual allowable uses pursuant to rule </w:t>
      </w:r>
      <w:hyperlink r:id="rId9">
        <w:r>
          <w:rPr>
            <w:rStyle w:val="Hyperlink"/>
            <w:rFonts w:ascii="Times New Roman" w:hAnsi="Times New Roman"/>
            <w:b w:val="false"/>
            <w:i w:val="false"/>
            <w:color w:val="000000"/>
            <w:sz w:val="22"/>
          </w:rPr>
          <w:t>281—27.4(260C)</w:t>
        </w:r>
      </w:hyperlink>
      <w:r>
        <w:rPr>
          <w:rFonts w:ascii="Times New Roman" w:hAnsi="Times New Roman"/>
          <w:b w:val="false"/>
          <w:i w:val="false"/>
          <w:color w:val="000000"/>
          <w:sz w:val="22"/>
        </w:rPr>
        <w:t xml:space="preserve"> and the planned amount to be used to support targeted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27.3(2)</w:t>
      </w:r>
      <w:r>
        <w:rPr>
          <w:rFonts w:ascii="Times New Roman" w:hAnsi="Times New Roman"/>
          <w:b w:val="false"/>
          <w:i w:val="false"/>
          <w:color w:val="000000"/>
          <w:sz w:val="22"/>
        </w:rPr>
        <w:t> </w:t>
      </w:r>
      <w:r>
        <w:rPr>
          <w:rFonts w:ascii="Times New Roman" w:hAnsi="Times New Roman"/>
          <w:b w:val="false"/>
          <w:i/>
          <w:color w:val="000000"/>
          <w:sz w:val="22"/>
        </w:rPr>
        <w:t xml:space="preserve">Progress reports. </w:t>
      </w:r>
      <w:r>
        <w:rPr>
          <w:rFonts w:ascii="Times New Roman" w:hAnsi="Times New Roman"/>
          <w:b w:val="false"/>
          <w:i w:val="false"/>
          <w:color w:val="000000"/>
          <w:sz w:val="22"/>
        </w:rPr>
        <w:t xml:space="preserve">Each college that receives an allocation of moneys pursuant to rule </w:t>
      </w:r>
      <w:hyperlink r:id="rId10">
        <w:r>
          <w:rPr>
            <w:rStyle w:val="Hyperlink"/>
            <w:rFonts w:ascii="Times New Roman" w:hAnsi="Times New Roman"/>
            <w:b w:val="false"/>
            <w:i w:val="false"/>
            <w:color w:val="000000"/>
            <w:sz w:val="22"/>
          </w:rPr>
          <w:t>281—27.2(260C)</w:t>
        </w:r>
      </w:hyperlink>
      <w:r>
        <w:rPr>
          <w:rFonts w:ascii="Times New Roman" w:hAnsi="Times New Roman"/>
          <w:b w:val="false"/>
          <w:i w:val="false"/>
          <w:color w:val="000000"/>
          <w:sz w:val="22"/>
        </w:rPr>
        <w:t xml:space="preserve"> will prepare an annual progress report detailing the plan’s implementation. The report is to be submitted to the department by September 30 of each year in a manner and form as prescribed by the department. The report will provide information regarding projects supported by the college’s fund, including the number of participants enrolled in each program, the number of participants who complete each program, the dollars spent on each allowable use pursuant to rule </w:t>
      </w:r>
      <w:hyperlink r:id="rId11">
        <w:r>
          <w:rPr>
            <w:rStyle w:val="Hyperlink"/>
            <w:rFonts w:ascii="Times New Roman" w:hAnsi="Times New Roman"/>
            <w:b w:val="false"/>
            <w:i w:val="false"/>
            <w:color w:val="000000"/>
            <w:sz w:val="22"/>
          </w:rPr>
          <w:t>281—27.4(260C)</w:t>
        </w:r>
      </w:hyperlink>
      <w:r>
        <w:rPr>
          <w:rFonts w:ascii="Times New Roman" w:hAnsi="Times New Roman"/>
          <w:b w:val="false"/>
          <w:i w:val="false"/>
          <w:color w:val="000000"/>
          <w:sz w:val="22"/>
        </w:rPr>
        <w:t>, the dollars spent in targeted areas, and other data necessary to report on state program performance metrics.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281—27.4</w:t>
      </w:r>
      <w:r>
        <w:rPr>
          <w:rFonts w:ascii="Times New Roman" w:hAnsi="Times New Roman"/>
          <w:b/>
          <w:i w:val="false"/>
          <w:color w:val="000000"/>
          <w:sz w:val="22"/>
        </w:rPr>
        <w:t xml:space="preserve">(260C) </w:t>
      </w:r>
      <w:r>
        <w:rPr>
          <w:rFonts w:ascii="Times New Roman" w:hAnsi="Times New Roman"/>
          <w:b/>
          <w:i w:val="false"/>
          <w:color w:val="000000"/>
          <w:sz w:val="22"/>
        </w:rPr>
        <w:t xml:space="preserve">Use of funds. </w:t>
      </w:r>
      <w:r>
        <w:rPr>
          <w:rFonts w:ascii="Times New Roman" w:hAnsi="Times New Roman"/>
          <w:b w:val="false"/>
          <w:i w:val="false"/>
          <w:color w:val="000000"/>
          <w:sz w:val="22"/>
        </w:rPr>
        <w:t xml:space="preserve">Moneys deposited into each community college fund are to be expended as specified in Iowa Code section </w:t>
      </w:r>
      <w:hyperlink r:id="rId12">
        <w:r>
          <w:rPr>
            <w:rStyle w:val="Hyperlink"/>
            <w:rFonts w:ascii="Times New Roman" w:hAnsi="Times New Roman"/>
            <w:b w:val="false"/>
            <w:i w:val="false"/>
            <w:color w:val="000000"/>
            <w:sz w:val="22"/>
          </w:rPr>
          <w:t>260C.18A</w:t>
        </w:r>
      </w:hyperlink>
      <w:r>
        <w:rPr>
          <w:rFonts w:ascii="Times New Roman" w:hAnsi="Times New Roman"/>
          <w:b w:val="false"/>
          <w:i w:val="false"/>
          <w:color w:val="000000"/>
          <w:sz w:val="22"/>
        </w:rPr>
        <w:t>. Any individual project using over $1 million of moneys from a workforce training and economic development fund requires prior approval from the state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281—27.5</w:t>
      </w:r>
      <w:r>
        <w:rPr>
          <w:rFonts w:ascii="Times New Roman" w:hAnsi="Times New Roman"/>
          <w:b/>
          <w:i w:val="false"/>
          <w:color w:val="000000"/>
          <w:sz w:val="22"/>
        </w:rPr>
        <w:t xml:space="preserve">(260C) </w:t>
      </w:r>
      <w:r>
        <w:rPr>
          <w:rFonts w:ascii="Times New Roman" w:hAnsi="Times New Roman"/>
          <w:b/>
          <w:i w:val="false"/>
          <w:color w:val="000000"/>
          <w:sz w:val="22"/>
        </w:rPr>
        <w:t xml:space="preserve">Annual plan and progress report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board will review and consider approval of reports and plans submitted pursuant to rule </w:t>
      </w:r>
      <w:hyperlink r:id="rId13">
        <w:r>
          <w:rPr>
            <w:rStyle w:val="Hyperlink"/>
            <w:rFonts w:ascii="Times New Roman" w:hAnsi="Times New Roman"/>
            <w:b w:val="false"/>
            <w:i w:val="false"/>
            <w:color w:val="000000"/>
            <w:sz w:val="22"/>
          </w:rPr>
          <w:t>281—27.3(260C)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27.5(2)</w:t>
      </w:r>
      <w:r>
        <w:rPr>
          <w:rFonts w:ascii="Times New Roman" w:hAnsi="Times New Roman"/>
          <w:b w:val="false"/>
          <w:i w:val="false"/>
          <w:color w:val="000000"/>
          <w:sz w:val="22"/>
        </w:rPr>
        <w:t> </w:t>
      </w:r>
      <w:r>
        <w:rPr>
          <w:rFonts w:ascii="Times New Roman" w:hAnsi="Times New Roman"/>
          <w:b w:val="false"/>
          <w:i w:val="false"/>
          <w:color w:val="000000"/>
          <w:sz w:val="22"/>
        </w:rPr>
        <w:t>The state board may reject a plan or progress report for any of the following reasons,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Incomplete information or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rule </w:t>
      </w:r>
      <w:hyperlink r:id="rId14">
        <w:r>
          <w:rPr>
            <w:rStyle w:val="Hyperlink"/>
            <w:rFonts w:ascii="Times New Roman" w:hAnsi="Times New Roman"/>
            <w:b w:val="false"/>
            <w:i w:val="false"/>
            <w:color w:val="000000"/>
            <w:sz w:val="22"/>
          </w:rPr>
          <w:t>281—27.4(260C)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Project not operated in compliance with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27.5(3)</w:t>
      </w:r>
      <w:r>
        <w:rPr>
          <w:rFonts w:ascii="Times New Roman" w:hAnsi="Times New Roman"/>
          <w:b w:val="false"/>
          <w:i w:val="false"/>
          <w:color w:val="000000"/>
          <w:sz w:val="22"/>
        </w:rPr>
        <w:t> </w:t>
      </w:r>
      <w:r>
        <w:rPr>
          <w:rFonts w:ascii="Times New Roman" w:hAnsi="Times New Roman"/>
          <w:b w:val="false"/>
          <w:i w:val="false"/>
          <w:color w:val="000000"/>
          <w:sz w:val="22"/>
        </w:rPr>
        <w:t>If the state board does not accept a college’s annual progress report, the college is subject to the following actions as prescribed by the board based upon the severity of the noncompliance or default,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withholding of a portion of new fiscal year moneys based upon amounts awarded deemed to be ineligible;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Tighter oversight and control of the college’s fund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Loss of funds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action deemed appropriate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260C.18A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1662C</w:t>
      </w:r>
      <w:r>
        <w:rPr>
          <w:rFonts w:ascii="Times New Roman" w:hAnsi="Times New Roman"/>
          <w:b w:val="false"/>
          <w:i w:val="false"/>
          <w:color w:val="000000"/>
          <w:sz w:val="21"/>
        </w:rPr>
        <w:t xml:space="preserve"> (Notice ARC 1529C, IAB 7/9/14)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7654C</w:t>
      </w:r>
      <w:r>
        <w:rPr>
          <w:rFonts w:ascii="Times New Roman" w:hAnsi="Times New Roman"/>
          <w:b w:val="false"/>
          <w:i w:val="false"/>
          <w:color w:val="000000"/>
          <w:sz w:val="21"/>
        </w:rPr>
        <w:t xml:space="preserve"> (Notice ARC 7159C, IAB 12/13/23)</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0C.pdf" Type="http://schemas.openxmlformats.org/officeDocument/2006/relationships/hyperlink" Id="rId5"/>
    <Relationship TargetMode="External" Target="https://www.legis.iowa.gov/docs/ico/chapter/260C.18A.pdf" Type="http://schemas.openxmlformats.org/officeDocument/2006/relationships/hyperlink" Id="rId6"/>
    <Relationship TargetMode="External" Target="https://www.legis.iowa.gov/docs/ico/chapter/476.42.pdf" Type="http://schemas.openxmlformats.org/officeDocument/2006/relationships/hyperlink" Id="rId7"/>
    <Relationship TargetMode="External" Target="https://www.legis.iowa.gov/docs/ico/chapter/260C.18A.pdf" Type="http://schemas.openxmlformats.org/officeDocument/2006/relationships/hyperlink" Id="rId8"/>
    <Relationship TargetMode="External" Target="https://www.legis.iowa.gov/docs/iac/rule/281.27.4.pdf" Type="http://schemas.openxmlformats.org/officeDocument/2006/relationships/hyperlink" Id="rId9"/>
    <Relationship TargetMode="External" Target="https://www.legis.iowa.gov/docs/iac/rule/281.27.2.pdf" Type="http://schemas.openxmlformats.org/officeDocument/2006/relationships/hyperlink" Id="rId10"/>
    <Relationship TargetMode="External" Target="https://www.legis.iowa.gov/docs/iac/rule/281.27.4.pdf" Type="http://schemas.openxmlformats.org/officeDocument/2006/relationships/hyperlink" Id="rId11"/>
    <Relationship TargetMode="External" Target="https://www.legis.iowa.gov/docs/ico/chapter/260C.18A.pdf" Type="http://schemas.openxmlformats.org/officeDocument/2006/relationships/hyperlink" Id="rId12"/>
    <Relationship TargetMode="External" Target="https://www.legis.iowa.gov/docs/iac/rule/281.27.3.pdf" Type="http://schemas.openxmlformats.org/officeDocument/2006/relationships/hyperlink" Id="rId13"/>
    <Relationship TargetMode="External" Target="https://www.legis.iowa.gov/docs/iac/rule/281.27.4.pdf" Type="http://schemas.openxmlformats.org/officeDocument/2006/relationships/hyperlink" Id="rId14"/>
    <Relationship TargetMode="External" Target="https://www.legis.iowa.gov/docs/ico/chapter/260C.18A.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