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PATHWAYS FOR ACADEMIC CAREER AND EMPLOYMENT PROGRAM; GAP TUITION ASSISTANCE PROGRAM</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281—25.1</w:t>
      </w:r>
      <w:r>
        <w:rPr>
          <w:rFonts w:ascii="Times New Roman" w:hAnsi="Times New Roman"/>
          <w:b/>
          <w:i w:val="false"/>
          <w:color w:val="000000"/>
          <w:sz w:val="22"/>
        </w:rPr>
        <w:t xml:space="preserve">(260H,260I)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“Dislocated worker” </w:t>
      </w:r>
      <w:r>
        <w:rPr>
          <w:rFonts w:ascii="Times New Roman" w:hAnsi="Times New Roman"/>
          <w:b w:val="false"/>
          <w:i w:val="false"/>
          <w:color w:val="000000"/>
          <w:sz w:val="22"/>
        </w:rPr>
        <w:t>means an individual eligible for services and benefits under the federal Trade Adjustment Act of 2002, P.L. 107-210. To be eligible, an individual must meet both criteria 1 and 2, plus any one of criteria 3 through 8:</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is registered for the selective service, if applicable;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individual is a citizen or national of the United States, a lawfully admitted permanent resident alien, a lawfully admitted refugee or parolee or an individual authorized by the Attorney General to work in the United States.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individual: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been laid off or terminated,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eligible for or has exhausted entitlement to unemployment compensation,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unlikely to return to the individual’s previous industry or occupation;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individual: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in receipt of a notice of layoff or termination from employment,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Will be entitled to unemployment compensation at the time of layoff or termination,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unlikely to return to the individual’s previous industry or occupation;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individual: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been laid off or terminated, or has received a termination notice,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been employed for a duration of time to sufficiently demonstrate attachment to the workforce,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not eligible for unemployment compensation due to insufficient earnings, or has performed services for an employer not covered under the unemployment compensation law,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unlikely to return to the individual’s previous industry or occupation; 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individual has been laid off or terminated, or has received notice of layoff or termination, as a result of a permanent closure of or any substantial layoff at a plant, facility or enterprise;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individual was formerly self-employed and is unemployed from the individual’s business; or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individual: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a displaced homemaker who has been providing unpaid services to family members in the home,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been dependent on the income of another family member, and is no longer supported by that income,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unemployed or underemployed,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experiencing difficulty in obtaining or upgrading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poverty level” </w:t>
      </w:r>
      <w:r>
        <w:rPr>
          <w:rFonts w:ascii="Times New Roman" w:hAnsi="Times New Roman"/>
          <w:b w:val="false"/>
          <w:i w:val="false"/>
          <w:color w:val="000000"/>
          <w:sz w:val="22"/>
        </w:rPr>
        <w:t>means the most recently revised poverty income guidelines published by the federal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“IWD” </w:t>
      </w:r>
      <w:r>
        <w:rPr>
          <w:rFonts w:ascii="Times New Roman" w:hAnsi="Times New Roman"/>
          <w:b w:val="false"/>
          <w:i w:val="false"/>
          <w:color w:val="000000"/>
          <w:sz w:val="22"/>
        </w:rPr>
        <w:t>means the Iowa workforce development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 skilled” </w:t>
      </w:r>
      <w:r>
        <w:rPr>
          <w:rFonts w:ascii="Times New Roman" w:hAnsi="Times New Roman"/>
          <w:b w:val="false"/>
          <w:i w:val="false"/>
          <w:color w:val="000000"/>
          <w:sz w:val="22"/>
        </w:rPr>
        <w:t>means an adult individual who is basic skills deficient, has lower level digital literacy skills, has an education below a high school diploma, or has a low level of educational attainment that inhibits the individual’s ability to compete for skilled occupations that provide opportunity for a self-sufficient wage.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board” </w:t>
      </w:r>
      <w:r>
        <w:rPr>
          <w:rFonts w:ascii="Times New Roman" w:hAnsi="Times New Roman"/>
          <w:b w:val="false"/>
          <w:i w:val="false"/>
          <w:color w:val="000000"/>
          <w:sz w:val="22"/>
        </w:rPr>
        <w:t>means the Iowa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“Underemployed” </w:t>
      </w:r>
      <w:r>
        <w:rPr>
          <w:rFonts w:ascii="Times New Roman" w:hAnsi="Times New Roman"/>
          <w:b w:val="false"/>
          <w:i w:val="false"/>
          <w:color w:val="000000"/>
          <w:sz w:val="22"/>
        </w:rPr>
        <w:t>means an adult individual who is working less than 30 hours per week, or who is employed any number of hours per week in a job that is substantially below the individual’s skill level and that does not lead to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“Unemployed” </w:t>
      </w:r>
      <w:r>
        <w:rPr>
          <w:rFonts w:ascii="Times New Roman" w:hAnsi="Times New Roman"/>
          <w:b w:val="false"/>
          <w:i w:val="false"/>
          <w:color w:val="000000"/>
          <w:sz w:val="22"/>
        </w:rPr>
        <w:t>means an adult individual who is involuntarily unemployed and is actively engaged in seeking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PATHWAYS FOR ACADEMIC CAREER AND EMPLOYMENT (PACE) PROGRAM</w:t>
      </w:r>
    </w:p>
    <w:p>
      <w:pPr>
        <w:spacing w:before="0" w:after="0"/>
        <w:ind w:left="120"/>
        <w:jc w:val="both"/>
      </w:pPr>
      <w:r>
        <w:rPr>
          <w:rFonts w:ascii="Times New Roman" w:hAnsi="Times New Roman"/>
          <w:b/>
          <w:i w:val="false"/>
          <w:color w:val="000000"/>
          <w:sz w:val="22"/>
        </w:rPr>
        <w:t>281—25.2</w:t>
      </w:r>
      <w:r>
        <w:rPr>
          <w:rFonts w:ascii="Times New Roman" w:hAnsi="Times New Roman"/>
          <w:b/>
          <w:i w:val="false"/>
          <w:color w:val="000000"/>
          <w:sz w:val="22"/>
        </w:rPr>
        <w:t xml:space="preserve">(260) </w:t>
      </w:r>
      <w:r>
        <w:rPr>
          <w:rFonts w:ascii="Times New Roman" w:hAnsi="Times New Roman"/>
          <w:b/>
          <w:i w:val="false"/>
          <w:color w:val="000000"/>
          <w:sz w:val="22"/>
        </w:rPr>
        <w:t xml:space="preserve">PACE program. </w:t>
      </w:r>
      <w:r>
        <w:rPr>
          <w:rFonts w:ascii="Times New Roman" w:hAnsi="Times New Roman"/>
          <w:b w:val="false"/>
          <w:i w:val="false"/>
          <w:color w:val="000000"/>
          <w:sz w:val="22"/>
        </w:rPr>
        <w:t>The pathways for academic career and employment program (hereinafter referred to as PACE) is established to provide funding to community colleges for the development of projects that will lead to gainful, quality, in-state employment for members of target populations by providing them with both effective academic and employment training to ensure gainful employment and customized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w:t>
      </w:r>
      <w:r>
        <w:rPr>
          <w:rFonts w:ascii="Times New Roman" w:hAnsi="Times New Roman"/>
          <w:b w:val="false"/>
          <w:i w:val="false"/>
          <w:color w:val="000000"/>
          <w:sz w:val="22"/>
        </w:rPr>
        <w:t> </w:t>
      </w:r>
      <w:r>
        <w:rPr>
          <w:rFonts w:ascii="Times New Roman" w:hAnsi="Times New Roman"/>
          <w:b w:val="false"/>
          <w:i/>
          <w:color w:val="000000"/>
          <w:sz w:val="22"/>
        </w:rPr>
        <w:t xml:space="preserve">Target populations. </w:t>
      </w:r>
      <w:r>
        <w:rPr>
          <w:rFonts w:ascii="Times New Roman" w:hAnsi="Times New Roman"/>
          <w:b w:val="false"/>
          <w:i w:val="false"/>
          <w:color w:val="000000"/>
          <w:sz w:val="22"/>
        </w:rPr>
        <w:t>Individuals included in target populations are those individuals who meet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deemed by definition to be low skilled.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Earn incomes at or below 250 percent of the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Are unemployed.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Are underemployed.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Are dislocated workers.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w:t>
      </w:r>
      <w:r>
        <w:rPr>
          <w:rFonts w:ascii="Times New Roman" w:hAnsi="Times New Roman"/>
          <w:b w:val="false"/>
          <w:i w:val="false"/>
          <w:color w:val="000000"/>
          <w:sz w:val="22"/>
        </w:rPr>
        <w:t> </w:t>
      </w:r>
      <w:r>
        <w:rPr>
          <w:rFonts w:ascii="Times New Roman" w:hAnsi="Times New Roman"/>
          <w:b w:val="false"/>
          <w:i/>
          <w:color w:val="000000"/>
          <w:sz w:val="22"/>
        </w:rPr>
        <w:t xml:space="preserve">Eligibility criteria for projects. </w:t>
      </w:r>
      <w:r>
        <w:rPr>
          <w:rFonts w:ascii="Times New Roman" w:hAnsi="Times New Roman"/>
          <w:b w:val="false"/>
          <w:i w:val="false"/>
          <w:color w:val="000000"/>
          <w:sz w:val="22"/>
        </w:rPr>
        <w:t>Projects eligible for funding for PACE are to be projects that further the ability of members of target populations to secure gainful, quality employment; that further partnerships linking community colleges to industry and nonprofit organizations; and that further the following program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Enabling members of the target populations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Acquire and demonstrate competency in basic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Acquire and demonstrate competency in a specified technical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a specified level of postsecondary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Earn a national career readiness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Obtain employer-validated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Secure gainful employment in high-quality, local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Meeting economic and employment goals,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Economic and workforce development requirements in each region served by the community colleges as defined by local advisory boards established pursuant to Iowa Code section </w:t>
      </w:r>
      <w:hyperlink r:id="rId5">
        <w:r>
          <w:rPr>
            <w:rStyle w:val="Hyperlink"/>
            <w:rFonts w:ascii="Times New Roman" w:hAnsi="Times New Roman"/>
            <w:b w:val="false"/>
            <w:i w:val="false"/>
            <w:color w:val="000000"/>
            <w:sz w:val="22"/>
          </w:rPr>
          <w:t>84A.4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Needs of industry partners in areas including but not limited to the fields of information technology, health care, advanced manufacturing, transportation and logistics, and any other industry designated as in-demand by a local advisory board established pursuant to Iowa Code section </w:t>
      </w:r>
      <w:hyperlink r:id="rId6">
        <w:r>
          <w:rPr>
            <w:rStyle w:val="Hyperlink"/>
            <w:rFonts w:ascii="Times New Roman" w:hAnsi="Times New Roman"/>
            <w:b w:val="false"/>
            <w:i w:val="false"/>
            <w:color w:val="000000"/>
            <w:sz w:val="22"/>
          </w:rPr>
          <w:t>84A.4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281—25.3</w:t>
      </w:r>
      <w:r>
        <w:rPr>
          <w:rFonts w:ascii="Times New Roman" w:hAnsi="Times New Roman"/>
          <w:b/>
          <w:i w:val="false"/>
          <w:color w:val="000000"/>
          <w:sz w:val="22"/>
        </w:rPr>
        <w:t xml:space="preserve">(260H) </w:t>
      </w:r>
      <w:r>
        <w:rPr>
          <w:rFonts w:ascii="Times New Roman" w:hAnsi="Times New Roman"/>
          <w:b/>
          <w:i w:val="false"/>
          <w:color w:val="000000"/>
          <w:sz w:val="22"/>
        </w:rPr>
        <w:t xml:space="preserve">Program component requirements. </w:t>
      </w:r>
      <w:r>
        <w:rPr>
          <w:rFonts w:ascii="Times New Roman" w:hAnsi="Times New Roman"/>
          <w:b w:val="false"/>
          <w:i w:val="false"/>
          <w:color w:val="000000"/>
          <w:sz w:val="22"/>
        </w:rPr>
        <w:t xml:space="preserve">Program components for a PACE project implemented at a community college are to meet the terms of Iowa Code section </w:t>
      </w:r>
      <w:hyperlink r:id="rId7">
        <w:r>
          <w:rPr>
            <w:rStyle w:val="Hyperlink"/>
            <w:rFonts w:ascii="Times New Roman" w:hAnsi="Times New Roman"/>
            <w:b w:val="false"/>
            <w:i w:val="false"/>
            <w:color w:val="000000"/>
            <w:sz w:val="22"/>
          </w:rPr>
          <w:t>260H.5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281—25.4</w:t>
      </w:r>
      <w:r>
        <w:rPr>
          <w:rFonts w:ascii="Times New Roman" w:hAnsi="Times New Roman"/>
          <w:b/>
          <w:i w:val="false"/>
          <w:color w:val="000000"/>
          <w:sz w:val="22"/>
        </w:rPr>
        <w:t xml:space="preserve">(260H) </w:t>
      </w:r>
      <w:r>
        <w:rPr>
          <w:rFonts w:ascii="Times New Roman" w:hAnsi="Times New Roman"/>
          <w:b/>
          <w:i w:val="false"/>
          <w:color w:val="000000"/>
          <w:sz w:val="22"/>
        </w:rPr>
        <w:t xml:space="preserve">Pipeline program. </w:t>
      </w:r>
      <w:r>
        <w:rPr>
          <w:rFonts w:ascii="Times New Roman" w:hAnsi="Times New Roman"/>
          <w:b w:val="false"/>
          <w:i w:val="false"/>
          <w:color w:val="000000"/>
          <w:sz w:val="22"/>
        </w:rPr>
        <w:t xml:space="preserve">Each community college receiving funding for PACE is to meet the terms of Iowa Code section </w:t>
      </w:r>
      <w:hyperlink r:id="rId8">
        <w:r>
          <w:rPr>
            <w:rStyle w:val="Hyperlink"/>
            <w:rFonts w:ascii="Times New Roman" w:hAnsi="Times New Roman"/>
            <w:b w:val="false"/>
            <w:i w:val="false"/>
            <w:color w:val="000000"/>
            <w:sz w:val="22"/>
          </w:rPr>
          <w:t>260H.6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281—25.5</w:t>
      </w:r>
      <w:r>
        <w:rPr>
          <w:rFonts w:ascii="Times New Roman" w:hAnsi="Times New Roman"/>
          <w:b/>
          <w:i w:val="false"/>
          <w:color w:val="000000"/>
          <w:sz w:val="22"/>
        </w:rPr>
        <w:t xml:space="preserve">(260H) </w:t>
      </w:r>
      <w:r>
        <w:rPr>
          <w:rFonts w:ascii="Times New Roman" w:hAnsi="Times New Roman"/>
          <w:b/>
          <w:i w:val="false"/>
          <w:color w:val="000000"/>
          <w:sz w:val="22"/>
        </w:rPr>
        <w:t xml:space="preserve">Career pathways and bridge curriculum development program. </w:t>
      </w:r>
      <w:r>
        <w:rPr>
          <w:rFonts w:ascii="Times New Roman" w:hAnsi="Times New Roman"/>
          <w:b w:val="false"/>
          <w:i w:val="false"/>
          <w:color w:val="000000"/>
          <w:sz w:val="22"/>
        </w:rPr>
        <w:t xml:space="preserve">Each community college receiving funding for PACE is to meet the terms of Iowa Code section </w:t>
      </w:r>
      <w:hyperlink r:id="rId9">
        <w:r>
          <w:rPr>
            <w:rStyle w:val="Hyperlink"/>
            <w:rFonts w:ascii="Times New Roman" w:hAnsi="Times New Roman"/>
            <w:b w:val="false"/>
            <w:i w:val="false"/>
            <w:color w:val="000000"/>
            <w:sz w:val="22"/>
          </w:rPr>
          <w:t>260H.7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281—25.6</w:t>
      </w:r>
      <w:r>
        <w:rPr>
          <w:rFonts w:ascii="Times New Roman" w:hAnsi="Times New Roman"/>
          <w:b/>
          <w:i w:val="false"/>
          <w:color w:val="000000"/>
          <w:sz w:val="22"/>
        </w:rPr>
        <w:t xml:space="preserve">(260H) </w:t>
      </w:r>
      <w:r>
        <w:rPr>
          <w:rFonts w:ascii="Times New Roman" w:hAnsi="Times New Roman"/>
          <w:b/>
          <w:i w:val="false"/>
          <w:color w:val="000000"/>
          <w:sz w:val="22"/>
        </w:rPr>
        <w:t xml:space="preserve">Pathway navigators. </w:t>
      </w:r>
      <w:r>
        <w:rPr>
          <w:rFonts w:ascii="Times New Roman" w:hAnsi="Times New Roman"/>
          <w:b w:val="false"/>
          <w:i w:val="false"/>
          <w:color w:val="000000"/>
          <w:sz w:val="22"/>
        </w:rPr>
        <w:t xml:space="preserve">A community college may use moneys for the PACE program to employ pathway navigators to assist students as specified in Iowa Code section </w:t>
      </w:r>
      <w:hyperlink r:id="rId10">
        <w:r>
          <w:rPr>
            <w:rStyle w:val="Hyperlink"/>
            <w:rFonts w:ascii="Times New Roman" w:hAnsi="Times New Roman"/>
            <w:b w:val="false"/>
            <w:i w:val="false"/>
            <w:color w:val="000000"/>
            <w:sz w:val="22"/>
          </w:rPr>
          <w:t>260H.7A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GAP TUITION ASSISTANCE PROGRAM</w:t>
      </w:r>
    </w:p>
    <w:p>
      <w:pPr>
        <w:spacing w:before="0" w:after="0"/>
        <w:ind w:left="120"/>
        <w:jc w:val="both"/>
      </w:pPr>
      <w:r>
        <w:rPr>
          <w:rFonts w:ascii="Times New Roman" w:hAnsi="Times New Roman"/>
          <w:b/>
          <w:i w:val="false"/>
          <w:color w:val="000000"/>
          <w:sz w:val="22"/>
        </w:rPr>
        <w:t>281—25.7</w:t>
      </w:r>
      <w:r>
        <w:rPr>
          <w:rFonts w:ascii="Times New Roman" w:hAnsi="Times New Roman"/>
          <w:b/>
          <w:i w:val="false"/>
          <w:color w:val="000000"/>
          <w:sz w:val="22"/>
        </w:rPr>
        <w:t xml:space="preserve">(260I) </w:t>
      </w:r>
      <w:r>
        <w:rPr>
          <w:rFonts w:ascii="Times New Roman" w:hAnsi="Times New Roman"/>
          <w:b/>
          <w:i w:val="false"/>
          <w:color w:val="000000"/>
          <w:sz w:val="22"/>
        </w:rPr>
        <w:t xml:space="preserve">Gap tuition assistance program. </w:t>
      </w:r>
      <w:r>
        <w:rPr>
          <w:rFonts w:ascii="Times New Roman" w:hAnsi="Times New Roman"/>
          <w:b w:val="false"/>
          <w:i w:val="false"/>
          <w:color w:val="000000"/>
          <w:sz w:val="22"/>
        </w:rPr>
        <w:t>A gap tuition assistance program is established to provide funding to community colleges for need-based tuition assistance to enable applicants to complete continuing education certificate training programs for in-demand occupations.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25.7(1)</w:t>
      </w:r>
      <w:r>
        <w:rPr>
          <w:rFonts w:ascii="Times New Roman" w:hAnsi="Times New Roman"/>
          <w:b w:val="false"/>
          <w:i w:val="false"/>
          <w:color w:val="000000"/>
          <w:sz w:val="22"/>
        </w:rPr>
        <w:t> </w:t>
      </w:r>
      <w:r>
        <w:rPr>
          <w:rFonts w:ascii="Times New Roman" w:hAnsi="Times New Roman"/>
          <w:b w:val="false"/>
          <w:i/>
          <w:color w:val="000000"/>
          <w:sz w:val="22"/>
        </w:rPr>
        <w:t xml:space="preserve">Applicants for tuition assistance. </w:t>
      </w:r>
      <w:r>
        <w:rPr>
          <w:rFonts w:ascii="Times New Roman" w:hAnsi="Times New Roman"/>
          <w:b w:val="false"/>
          <w:i w:val="false"/>
          <w:color w:val="000000"/>
          <w:sz w:val="22"/>
        </w:rPr>
        <w:t xml:space="preserve">Eligibility for tuition assistance will be based on financial need. Eligibility criteria are set forth in Iowa Code sections </w:t>
      </w:r>
      <w:hyperlink r:id="rId11">
        <w:r>
          <w:rPr>
            <w:rStyle w:val="Hyperlink"/>
            <w:rFonts w:ascii="Times New Roman" w:hAnsi="Times New Roman"/>
            <w:b w:val="false"/>
            <w:i w:val="false"/>
            <w:color w:val="000000"/>
            <w:sz w:val="22"/>
          </w:rPr>
          <w:t>260I.3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260I.4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25.7(2)</w:t>
      </w:r>
      <w:r>
        <w:rPr>
          <w:rFonts w:ascii="Times New Roman" w:hAnsi="Times New Roman"/>
          <w:b w:val="false"/>
          <w:i w:val="false"/>
          <w:color w:val="000000"/>
          <w:sz w:val="22"/>
        </w:rPr>
        <w:t> </w:t>
      </w:r>
      <w:r>
        <w:rPr>
          <w:rFonts w:ascii="Times New Roman" w:hAnsi="Times New Roman"/>
          <w:b w:val="false"/>
          <w:i/>
          <w:color w:val="000000"/>
          <w:sz w:val="22"/>
        </w:rPr>
        <w:t xml:space="preserve">Eligible costs. </w:t>
      </w:r>
      <w:r>
        <w:rPr>
          <w:rFonts w:ascii="Times New Roman" w:hAnsi="Times New Roman"/>
          <w:b w:val="false"/>
          <w:i w:val="false"/>
          <w:color w:val="000000"/>
          <w:sz w:val="22"/>
        </w:rPr>
        <w:t xml:space="preserve">Costs of an eligible certificate program are set forth in Iowa Code section </w:t>
      </w:r>
      <w:hyperlink r:id="rId13">
        <w:r>
          <w:rPr>
            <w:rStyle w:val="Hyperlink"/>
            <w:rFonts w:ascii="Times New Roman" w:hAnsi="Times New Roman"/>
            <w:b w:val="false"/>
            <w:i w:val="false"/>
            <w:color w:val="000000"/>
            <w:sz w:val="22"/>
          </w:rPr>
          <w:t>260I.5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25.7(3)</w:t>
      </w:r>
      <w:r>
        <w:rPr>
          <w:rFonts w:ascii="Times New Roman" w:hAnsi="Times New Roman"/>
          <w:b w:val="false"/>
          <w:i w:val="false"/>
          <w:color w:val="000000"/>
          <w:sz w:val="22"/>
        </w:rPr>
        <w:t> </w:t>
      </w:r>
      <w:r>
        <w:rPr>
          <w:rFonts w:ascii="Times New Roman" w:hAnsi="Times New Roman"/>
          <w:b w:val="false"/>
          <w:i/>
          <w:color w:val="000000"/>
          <w:sz w:val="22"/>
        </w:rPr>
        <w:t xml:space="preserve">Eligible certificate programs. </w:t>
      </w:r>
      <w:r>
        <w:rPr>
          <w:rFonts w:ascii="Times New Roman" w:hAnsi="Times New Roman"/>
          <w:b w:val="false"/>
          <w:i w:val="false"/>
          <w:color w:val="000000"/>
          <w:sz w:val="22"/>
        </w:rPr>
        <w:t xml:space="preserve">For the purposes of this division, “eligible certificate program” means a program satisfying the criteria in Iowa Code section </w:t>
      </w:r>
      <w:hyperlink r:id="rId14">
        <w:r>
          <w:rPr>
            <w:rStyle w:val="Hyperlink"/>
            <w:rFonts w:ascii="Times New Roman" w:hAnsi="Times New Roman"/>
            <w:b w:val="false"/>
            <w:i w:val="false"/>
            <w:color w:val="000000"/>
            <w:sz w:val="22"/>
          </w:rPr>
          <w:t>260I.6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281—25.8</w:t>
      </w:r>
      <w:r>
        <w:rPr>
          <w:rFonts w:ascii="Times New Roman" w:hAnsi="Times New Roman"/>
          <w:b/>
          <w:i w:val="false"/>
          <w:color w:val="000000"/>
          <w:sz w:val="22"/>
        </w:rPr>
        <w:t xml:space="preserve">(260I) </w:t>
      </w:r>
      <w:r>
        <w:rPr>
          <w:rFonts w:ascii="Times New Roman" w:hAnsi="Times New Roman"/>
          <w:b/>
          <w:i w:val="false"/>
          <w:color w:val="000000"/>
          <w:sz w:val="22"/>
        </w:rPr>
        <w:t xml:space="preserve">Initial assessment. </w:t>
      </w:r>
      <w:r>
        <w:rPr>
          <w:rFonts w:ascii="Times New Roman" w:hAnsi="Times New Roman"/>
          <w:b w:val="false"/>
          <w:i w:val="false"/>
          <w:color w:val="000000"/>
          <w:sz w:val="22"/>
        </w:rPr>
        <w:t xml:space="preserve">An eligible applicant for tuition assistance under this division is subject to an initial assessment administered by the community college pursuant to Iowa Code section </w:t>
      </w:r>
      <w:hyperlink r:id="rId15">
        <w:r>
          <w:rPr>
            <w:rStyle w:val="Hyperlink"/>
            <w:rFonts w:ascii="Times New Roman" w:hAnsi="Times New Roman"/>
            <w:b w:val="false"/>
            <w:i w:val="false"/>
            <w:color w:val="000000"/>
            <w:sz w:val="22"/>
          </w:rPr>
          <w:t>260I.7</w:t>
        </w:r>
      </w:hyperlink>
      <w:r>
        <w:rPr>
          <w:rFonts w:ascii="Times New Roman" w:hAnsi="Times New Roman"/>
          <w:b w:val="false"/>
          <w:i w:val="false"/>
          <w:color w:val="000000"/>
          <w:sz w:val="22"/>
        </w:rPr>
        <w:t>. In assessing an applicant under this division, a community college will use the national career readiness certificate; an assessment eligible under the Adult Education and Family Literacy Act, 20 U.S.C. Ch. 73, and approved by the department for use in an adult education and literacy program; or an established process utilizing valid measures for determining preparedness for the eligible certificate program, which may include processes for measuring academic preparedness used by the community college for placement of students into credit coursework.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281—25.9</w:t>
      </w:r>
      <w:r>
        <w:rPr>
          <w:rFonts w:ascii="Times New Roman" w:hAnsi="Times New Roman"/>
          <w:b/>
          <w:i w:val="false"/>
          <w:color w:val="000000"/>
          <w:sz w:val="22"/>
        </w:rPr>
        <w:t xml:space="preserve">(260I) </w:t>
      </w:r>
      <w:r>
        <w:rPr>
          <w:rFonts w:ascii="Times New Roman" w:hAnsi="Times New Roman"/>
          <w:b/>
          <w:i w:val="false"/>
          <w:color w:val="000000"/>
          <w:sz w:val="22"/>
        </w:rPr>
        <w:t xml:space="preserve">Program interview. </w:t>
      </w:r>
      <w:r>
        <w:rPr>
          <w:rFonts w:ascii="Times New Roman" w:hAnsi="Times New Roman"/>
          <w:b w:val="false"/>
          <w:i w:val="false"/>
          <w:color w:val="000000"/>
          <w:sz w:val="22"/>
        </w:rPr>
        <w:t xml:space="preserve">An eligible applicant for tuition assistance under this division is subject to an initial interview with the gap tuition assistance coordinator for the community college receiving the application. This interview is subject to the provision of Iowa Code section </w:t>
      </w:r>
      <w:hyperlink r:id="rId16">
        <w:r>
          <w:rPr>
            <w:rStyle w:val="Hyperlink"/>
            <w:rFonts w:ascii="Times New Roman" w:hAnsi="Times New Roman"/>
            <w:b w:val="false"/>
            <w:i w:val="false"/>
            <w:color w:val="000000"/>
            <w:sz w:val="22"/>
          </w:rPr>
          <w:t>260I.8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281—25.10</w:t>
      </w:r>
      <w:r>
        <w:rPr>
          <w:rFonts w:ascii="Times New Roman" w:hAnsi="Times New Roman"/>
          <w:b/>
          <w:i w:val="false"/>
          <w:color w:val="000000"/>
          <w:sz w:val="22"/>
        </w:rPr>
        <w:t xml:space="preserve">(260I) </w:t>
      </w:r>
      <w:r>
        <w:rPr>
          <w:rFonts w:ascii="Times New Roman" w:hAnsi="Times New Roman"/>
          <w:b/>
          <w:i w:val="false"/>
          <w:color w:val="000000"/>
          <w:sz w:val="22"/>
        </w:rPr>
        <w:t xml:space="preserve">Participation requirements. </w:t>
      </w:r>
      <w:r>
        <w:rPr>
          <w:rFonts w:ascii="Times New Roman" w:hAnsi="Times New Roman"/>
          <w:b w:val="false"/>
          <w:i w:val="false"/>
          <w:color w:val="000000"/>
          <w:sz w:val="22"/>
        </w:rPr>
        <w:t xml:space="preserve">Participating individuals are subject to the provisions of Iowa Code section </w:t>
      </w:r>
      <w:hyperlink r:id="rId17">
        <w:r>
          <w:rPr>
            <w:rStyle w:val="Hyperlink"/>
            <w:rFonts w:ascii="Times New Roman" w:hAnsi="Times New Roman"/>
            <w:b w:val="false"/>
            <w:i w:val="false"/>
            <w:color w:val="000000"/>
            <w:sz w:val="22"/>
          </w:rPr>
          <w:t>260I.9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281—25.11</w:t>
      </w:r>
      <w:r>
        <w:rPr>
          <w:rFonts w:ascii="Times New Roman" w:hAnsi="Times New Roman"/>
          <w:b/>
          <w:i w:val="false"/>
          <w:color w:val="000000"/>
          <w:sz w:val="22"/>
        </w:rPr>
        <w:t xml:space="preserve">(260I) </w:t>
      </w:r>
      <w:r>
        <w:rPr>
          <w:rFonts w:ascii="Times New Roman" w:hAnsi="Times New Roman"/>
          <w:b/>
          <w:i w:val="false"/>
          <w:color w:val="000000"/>
          <w:sz w:val="22"/>
        </w:rPr>
        <w:t xml:space="preserve">Oversight. </w:t>
      </w:r>
      <w:r>
        <w:rPr>
          <w:rFonts w:ascii="Times New Roman" w:hAnsi="Times New Roman"/>
          <w:b w:val="false"/>
          <w:i w:val="false"/>
          <w:color w:val="000000"/>
          <w:sz w:val="22"/>
        </w:rPr>
        <w:t xml:space="preserve">Statewide oversight, evaluation, and reporting efforts for the gap tuition assistance program are coordinated by the department pursuant to the terms of Iowa Code section </w:t>
      </w:r>
      <w:hyperlink r:id="rId18">
        <w:r>
          <w:rPr>
            <w:rStyle w:val="Hyperlink"/>
            <w:rFonts w:ascii="Times New Roman" w:hAnsi="Times New Roman"/>
            <w:b w:val="false"/>
            <w:i w:val="false"/>
            <w:color w:val="000000"/>
            <w:sz w:val="22"/>
          </w:rPr>
          <w:t>260I.10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25.11(1)</w:t>
      </w:r>
      <w:r>
        <w:rPr>
          <w:rFonts w:ascii="Times New Roman" w:hAnsi="Times New Roman"/>
          <w:b w:val="false"/>
          <w:i w:val="false"/>
          <w:color w:val="000000"/>
          <w:sz w:val="22"/>
        </w:rPr>
        <w:t> </w:t>
      </w:r>
      <w:r>
        <w:rPr>
          <w:rFonts w:ascii="Times New Roman" w:hAnsi="Times New Roman"/>
          <w:b w:val="false"/>
          <w:i w:val="false"/>
          <w:color w:val="000000"/>
          <w:sz w:val="22"/>
        </w:rPr>
        <w:t>A steering committee consisting of the Iowa department of education, the Iowa workforce development department, and community college continuing education deans and directors is established to determine whether the performance measures of the gap tuition assistance program are being met and to correct any deficiencies. The steering committee will meet at least quarterly to evaluate and monitor the performance of the gap tuition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25.11(2)</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common intake tracking system is established pursuant to Iowa Code section </w:t>
      </w:r>
      <w:hyperlink r:id="rId19">
        <w:r>
          <w:rPr>
            <w:rStyle w:val="Hyperlink"/>
            <w:rFonts w:ascii="Times New Roman" w:hAnsi="Times New Roman"/>
            <w:b w:val="false"/>
            <w:i w:val="false"/>
            <w:color w:val="000000"/>
            <w:sz w:val="22"/>
          </w:rPr>
          <w:t>260I.10(2)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25.11(3)</w:t>
      </w:r>
      <w:r>
        <w:rPr>
          <w:rFonts w:ascii="Times New Roman" w:hAnsi="Times New Roman"/>
          <w:b w:val="false"/>
          <w:i w:val="false"/>
          <w:color w:val="000000"/>
          <w:sz w:val="22"/>
        </w:rPr>
        <w:t> </w:t>
      </w:r>
      <w:r>
        <w:rPr>
          <w:rFonts w:ascii="Times New Roman" w:hAnsi="Times New Roman"/>
          <w:b w:val="false"/>
          <w:i w:val="false"/>
          <w:color w:val="000000"/>
          <w:sz w:val="22"/>
        </w:rPr>
        <w:t>The steering committee will develop the required program criteria for PACE and gap tuition assistance-certified programs to be eligible for tuition assistance and program funding. These criteria will be developed based on best practices in the development and delivery of career pathway programs that provide a clear sequence of education coursework and credentials aligned with regional workforce skill needs; clearly articulate from one level of instruction to the next; combine occupational skills and remedial adult education; lead to the attainment of a credential or degree; assist with job placement; and provide wraparound social and socioeconomic support services with the goal of increasing the individual’s skills attainment and employment potential.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25.11(4)</w:t>
      </w:r>
      <w:r>
        <w:rPr>
          <w:rFonts w:ascii="Times New Roman" w:hAnsi="Times New Roman"/>
          <w:b w:val="false"/>
          <w:i w:val="false"/>
          <w:color w:val="000000"/>
          <w:sz w:val="22"/>
        </w:rPr>
        <w:t> </w:t>
      </w:r>
      <w:r>
        <w:rPr>
          <w:rFonts w:ascii="Times New Roman" w:hAnsi="Times New Roman"/>
          <w:b w:val="false"/>
          <w:i w:val="false"/>
          <w:color w:val="000000"/>
          <w:sz w:val="22"/>
        </w:rPr>
        <w:t>To ensure efficient delivery of services, the department, in consultation with the community colleges, may redistribute funds available to the community colleges for purposes of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0">
        <w:r>
          <w:rPr>
            <w:rStyle w:val="Hyperlink"/>
            <w:rFonts w:ascii="Times New Roman" w:hAnsi="Times New Roman"/>
            <w:b w:val="false"/>
            <w:i w:val="false"/>
            <w:color w:val="000000"/>
            <w:sz w:val="22"/>
          </w:rPr>
          <w:t>260H</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260I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0102C</w:t>
      </w:r>
      <w:r>
        <w:rPr>
          <w:rFonts w:ascii="Times New Roman" w:hAnsi="Times New Roman"/>
          <w:b w:val="false"/>
          <w:i w:val="false"/>
          <w:color w:val="000000"/>
          <w:sz w:val="21"/>
        </w:rPr>
        <w:t xml:space="preserve"> (Notice ARC 0020C, IAB 2/22/12)</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1875C</w:t>
      </w:r>
      <w:r>
        <w:rPr>
          <w:rFonts w:ascii="Times New Roman" w:hAnsi="Times New Roman"/>
          <w:b w:val="false"/>
          <w:i w:val="false"/>
          <w:color w:val="000000"/>
          <w:sz w:val="21"/>
        </w:rPr>
        <w:t xml:space="preserve"> (Notice ARC 1783C, IAB 12/10/14)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2309C</w:t>
      </w:r>
      <w:r>
        <w:rPr>
          <w:rFonts w:ascii="Times New Roman" w:hAnsi="Times New Roman"/>
          <w:b w:val="false"/>
          <w:i w:val="false"/>
          <w:color w:val="000000"/>
          <w:sz w:val="21"/>
        </w:rPr>
        <w:t xml:space="preserve"> (Notice ARC 2182C, IAB 10/14/15)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4700C</w:t>
      </w:r>
      <w:r>
        <w:rPr>
          <w:rFonts w:ascii="Times New Roman" w:hAnsi="Times New Roman"/>
          <w:b w:val="false"/>
          <w:i w:val="false"/>
          <w:color w:val="000000"/>
          <w:sz w:val="21"/>
        </w:rPr>
        <w:t xml:space="preserve"> (Notice ARC 4524C, IAB 7/3/19)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6380C</w:t>
      </w:r>
      <w:r>
        <w:rPr>
          <w:rFonts w:ascii="Times New Roman" w:hAnsi="Times New Roman"/>
          <w:b w:val="false"/>
          <w:i w:val="false"/>
          <w:color w:val="000000"/>
          <w:sz w:val="21"/>
        </w:rPr>
        <w:t xml:space="preserve"> (Notice ARC 6301C, IAB 4/20/22)</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[Editorial change: IAC Supplement 8/23/23]</w:t>
      </w:r>
    </w:p>
    <w:p>
      <w:pPr>
        <w:spacing w:before="0" w:after="0"/>
        <w:ind w:left="120"/>
        <w:jc w:val="center"/>
      </w:pPr>
      <w:r>
        <w:rPr>
          <w:rFonts w:ascii="Times New Roman" w:hAnsi="Times New Roman"/>
          <w:b w:val="false"/>
          <w:i w:val="false"/>
          <w:color w:val="000000"/>
          <w:sz w:val="21"/>
        </w:rPr>
        <w:t>[Filed ARC 7653C</w:t>
      </w:r>
      <w:r>
        <w:rPr>
          <w:rFonts w:ascii="Times New Roman" w:hAnsi="Times New Roman"/>
          <w:b w:val="false"/>
          <w:i w:val="false"/>
          <w:color w:val="000000"/>
          <w:sz w:val="21"/>
        </w:rPr>
        <w:t xml:space="preserve"> (Notice ARC 7158C, IAB 12/13/23)</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A.4.pdf" Type="http://schemas.openxmlformats.org/officeDocument/2006/relationships/hyperlink" Id="rId5"/>
    <Relationship TargetMode="External" Target="https://www.legis.iowa.gov/docs/ico/chapter/84A.4.pdf" Type="http://schemas.openxmlformats.org/officeDocument/2006/relationships/hyperlink" Id="rId6"/>
    <Relationship TargetMode="External" Target="https://www.legis.iowa.gov/docs/ico/chapter/260H.5.pdf" Type="http://schemas.openxmlformats.org/officeDocument/2006/relationships/hyperlink" Id="rId7"/>
    <Relationship TargetMode="External" Target="https://www.legis.iowa.gov/docs/ico/chapter/260H.6.pdf" Type="http://schemas.openxmlformats.org/officeDocument/2006/relationships/hyperlink" Id="rId8"/>
    <Relationship TargetMode="External" Target="https://www.legis.iowa.gov/docs/ico/chapter/260H.7.pdf" Type="http://schemas.openxmlformats.org/officeDocument/2006/relationships/hyperlink" Id="rId9"/>
    <Relationship TargetMode="External" Target="https://www.legis.iowa.gov/docs/ico/chapter/260H.7A.pdf" Type="http://schemas.openxmlformats.org/officeDocument/2006/relationships/hyperlink" Id="rId10"/>
    <Relationship TargetMode="External" Target="https://www.legis.iowa.gov/docs/ico/chapter/260I.3.pdf" Type="http://schemas.openxmlformats.org/officeDocument/2006/relationships/hyperlink" Id="rId11"/>
    <Relationship TargetMode="External" Target="https://www.legis.iowa.gov/docs/ico/chapter/260I.4.pdf" Type="http://schemas.openxmlformats.org/officeDocument/2006/relationships/hyperlink" Id="rId12"/>
    <Relationship TargetMode="External" Target="https://www.legis.iowa.gov/docs/ico/chapter/260I.5.pdf" Type="http://schemas.openxmlformats.org/officeDocument/2006/relationships/hyperlink" Id="rId13"/>
    <Relationship TargetMode="External" Target="https://www.legis.iowa.gov/docs/ico/chapter/260I.6.pdf" Type="http://schemas.openxmlformats.org/officeDocument/2006/relationships/hyperlink" Id="rId14"/>
    <Relationship TargetMode="External" Target="https://www.legis.iowa.gov/docs/ico/chapter/260I.7.pdf" Type="http://schemas.openxmlformats.org/officeDocument/2006/relationships/hyperlink" Id="rId15"/>
    <Relationship TargetMode="External" Target="https://www.legis.iowa.gov/docs/ico/chapter/260I.8.pdf" Type="http://schemas.openxmlformats.org/officeDocument/2006/relationships/hyperlink" Id="rId16"/>
    <Relationship TargetMode="External" Target="https://www.legis.iowa.gov/docs/ico/chapter/260I.9.pdf" Type="http://schemas.openxmlformats.org/officeDocument/2006/relationships/hyperlink" Id="rId17"/>
    <Relationship TargetMode="External" Target="https://www.legis.iowa.gov/docs/ico/chapter/260I.10.pdf" Type="http://schemas.openxmlformats.org/officeDocument/2006/relationships/hyperlink" Id="rId18"/>
    <Relationship TargetMode="External" Target="https://www.legis.iowa.gov/docs/ico/chapter/260I.10.pdf" Type="http://schemas.openxmlformats.org/officeDocument/2006/relationships/hyperlink" Id="rId19"/>
    <Relationship TargetMode="External" Target="https://www.legis.iowa.gov/docs/ico/chapter/260H.pdf" Type="http://schemas.openxmlformats.org/officeDocument/2006/relationships/hyperlink" Id="rId20"/>
    <Relationship TargetMode="External" Target="https://www.legis.iowa.gov/docs/ico/chapter/260I.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