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SENIOR YEAR PLUS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pBdr>
          <w:top w:space="10"/>
        </w:pBdr>
        <w:spacing w:before="0" w:after="0"/>
        <w:ind w:left="120"/>
        <w:jc w:val="center"/>
      </w:pPr>
      <w:r>
        <w:rPr>
          <w:rFonts w:ascii="Times New Roman" w:hAnsi="Times New Roman"/>
          <w:b w:val="false"/>
          <w:i w:val="false"/>
          <w:color w:val="000000"/>
          <w:sz w:val="16"/>
        </w:rPr>
        <w:t xml:space="preserve">DIVISION I </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281—22.1</w:t>
      </w:r>
      <w:r>
        <w:rPr>
          <w:rFonts w:ascii="Times New Roman" w:hAnsi="Times New Roman"/>
          <w:b/>
          <w:i w:val="false"/>
          <w:color w:val="000000"/>
          <w:sz w:val="22"/>
        </w:rPr>
        <w:t xml:space="preserve">(261E)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“Concurrent enrollment”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261E.2(1)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“Dually enrolled” </w:t>
      </w:r>
      <w:r>
        <w:rPr>
          <w:rFonts w:ascii="Times New Roman" w:hAnsi="Times New Roman"/>
          <w:b w:val="false"/>
          <w:i w:val="false"/>
          <w:color w:val="000000"/>
          <w:sz w:val="22"/>
        </w:rPr>
        <w:t xml:space="preserve">means the status of a student who receives competent private instruction under Iowa Code chapter </w:t>
      </w:r>
      <w:hyperlink r:id="rId6">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and whose parent, guardian, or legal custodian has registered the student pursuant to Iowa Code section </w:t>
      </w:r>
      <w:hyperlink r:id="rId7">
        <w:r>
          <w:rPr>
            <w:rStyle w:val="Hyperlink"/>
            <w:rFonts w:ascii="Times New Roman" w:hAnsi="Times New Roman"/>
            <w:b w:val="false"/>
            <w:i w:val="false"/>
            <w:color w:val="000000"/>
            <w:sz w:val="22"/>
          </w:rPr>
          <w:t>299A.8</w:t>
        </w:r>
      </w:hyperlink>
      <w:r>
        <w:rPr>
          <w:rFonts w:ascii="Times New Roman" w:hAnsi="Times New Roman"/>
          <w:b w:val="false"/>
          <w:i w:val="false"/>
          <w:color w:val="000000"/>
          <w:sz w:val="22"/>
        </w:rPr>
        <w:t xml:space="preserve"> in a school district for any of the purposes listed therein, including, for purposes of these rules, participation in any part of the senior year plus program on the same basis as public school students but subject to the enrollment limitation contained in </w:t>
      </w:r>
      <w:hyperlink r:id="rId8">
        <w:r>
          <w:rPr>
            <w:rStyle w:val="Hyperlink"/>
            <w:rFonts w:ascii="Times New Roman" w:hAnsi="Times New Roman"/>
            <w:b w:val="false"/>
            <w:i w:val="false"/>
            <w:color w:val="000000"/>
            <w:sz w:val="22"/>
          </w:rPr>
          <w:t>281—Chapter 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postsecondary institution”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261E.2(4)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261E.2(5)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means the board of directors of a school district or a collaboration of boards of directors of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261E.2(8)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281—22.2</w:t>
      </w:r>
      <w:r>
        <w:rPr>
          <w:rFonts w:ascii="Times New Roman" w:hAnsi="Times New Roman"/>
          <w:b/>
          <w:i w:val="false"/>
          <w:color w:val="000000"/>
          <w:sz w:val="22"/>
        </w:rPr>
        <w:t xml:space="preserve">(261E)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 xml:space="preserve">A student is eligible if the student satisfies the provisions of Iowa Code section </w:t>
      </w:r>
      <w:hyperlink r:id="rId12">
        <w:r>
          <w:rPr>
            <w:rStyle w:val="Hyperlink"/>
            <w:rFonts w:ascii="Times New Roman" w:hAnsi="Times New Roman"/>
            <w:b w:val="false"/>
            <w:i w:val="false"/>
            <w:color w:val="000000"/>
            <w:sz w:val="22"/>
          </w:rPr>
          <w:t>261E.3(1)</w:t>
        </w:r>
      </w:hyperlink>
      <w:r>
        <w:rPr>
          <w:rFonts w:ascii="Times New Roman" w:hAnsi="Times New Roman"/>
          <w:b w:val="false"/>
          <w:i w:val="false"/>
          <w:color w:val="000000"/>
          <w:sz w:val="22"/>
        </w:rPr>
        <w:t>. If the student was absent for the most recent administration of the statewide assessment, and such absence was not excused by the student’s school of enrollment, the student is deemed not to be proficient in any of the content areas. Measures of college readiness may be jointly agreed upon by the school board and the eligible postsecondary institution that allow a student to demonstrate competency in one or all of the required subject areas. Institutions will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The measures of college readiness align with the proficiency levels established for the statewide assessment and reflect the competence of entering first-year students at the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The measures of college readiness are specified in a contract entered into by the participating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281—22.3</w:t>
      </w:r>
      <w:r>
        <w:rPr>
          <w:rFonts w:ascii="Times New Roman" w:hAnsi="Times New Roman"/>
          <w:b/>
          <w:i w:val="false"/>
          <w:color w:val="000000"/>
          <w:sz w:val="22"/>
        </w:rPr>
        <w:t xml:space="preserve">(261E) </w:t>
      </w:r>
      <w:r>
        <w:rPr>
          <w:rFonts w:ascii="Times New Roman" w:hAnsi="Times New Roman"/>
          <w:b/>
          <w:i w:val="false"/>
          <w:color w:val="000000"/>
          <w:sz w:val="22"/>
        </w:rPr>
        <w:t xml:space="preserve">Teacher eligibility, responsibilities. </w:t>
      </w:r>
      <w:r>
        <w:rPr>
          <w:rFonts w:ascii="Times New Roman" w:hAnsi="Times New Roman"/>
          <w:b w:val="false"/>
          <w:i w:val="false"/>
          <w:color w:val="000000"/>
          <w:sz w:val="22"/>
        </w:rPr>
        <w:t xml:space="preserve">A teacher employed to provide instruction under this chapter is eligible if the teacher satisfies the criteria and responsibilities of Iowa Code section </w:t>
      </w:r>
      <w:hyperlink r:id="rId13">
        <w:r>
          <w:rPr>
            <w:rStyle w:val="Hyperlink"/>
            <w:rFonts w:ascii="Times New Roman" w:hAnsi="Times New Roman"/>
            <w:b w:val="false"/>
            <w:i w:val="false"/>
            <w:color w:val="000000"/>
            <w:sz w:val="22"/>
          </w:rPr>
          <w:t>261E.3(2)</w:t>
        </w:r>
      </w:hyperlink>
      <w:r>
        <w:rPr>
          <w:rFonts w:ascii="Times New Roman" w:hAnsi="Times New Roman"/>
          <w:b w:val="false"/>
          <w:i w:val="false"/>
          <w:color w:val="000000"/>
          <w:sz w:val="22"/>
        </w:rPr>
        <w:t xml:space="preserve">. The background investigation also applies to a teacher or instructor who is employed by an eligible postsecondary institution if the teacher or instructor provides instruction under this chapter at a school district facility, an accredited nonpublic school facility, or a neutral site. For purposes of this rule, “neutral site” means the same as defined in Iowa Code section </w:t>
      </w:r>
      <w:hyperlink r:id="rId14">
        <w:r>
          <w:rPr>
            <w:rStyle w:val="Hyperlink"/>
            <w:rFonts w:ascii="Times New Roman" w:hAnsi="Times New Roman"/>
            <w:b w:val="false"/>
            <w:i w:val="false"/>
            <w:color w:val="000000"/>
            <w:sz w:val="22"/>
          </w:rPr>
          <w:t>261E.3(2)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281—22.4</w:t>
      </w:r>
      <w:r>
        <w:rPr>
          <w:rFonts w:ascii="Times New Roman" w:hAnsi="Times New Roman"/>
          <w:b/>
          <w:i w:val="false"/>
          <w:color w:val="000000"/>
          <w:sz w:val="22"/>
        </w:rPr>
        <w:t xml:space="preserve">(261E) </w:t>
      </w:r>
      <w:r>
        <w:rPr>
          <w:rFonts w:ascii="Times New Roman" w:hAnsi="Times New Roman"/>
          <w:b/>
          <w:i w:val="false"/>
          <w:color w:val="000000"/>
          <w:sz w:val="22"/>
        </w:rPr>
        <w:t xml:space="preserve">Institutional eligibility,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Institutions are governed by the provisions of Iowa Code section </w:t>
      </w:r>
      <w:hyperlink r:id="rId15">
        <w:r>
          <w:rPr>
            <w:rStyle w:val="Hyperlink"/>
            <w:rFonts w:ascii="Times New Roman" w:hAnsi="Times New Roman"/>
            <w:b w:val="false"/>
            <w:i w:val="false"/>
            <w:color w:val="000000"/>
            <w:sz w:val="22"/>
          </w:rPr>
          <w:t>261E.3(3)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fee is charged to other students of the eligible postsecondary institution for any of the services specified in Iowa Code section </w:t>
      </w:r>
      <w:hyperlink r:id="rId16">
        <w:r>
          <w:rPr>
            <w:rStyle w:val="Hyperlink"/>
            <w:rFonts w:ascii="Times New Roman" w:hAnsi="Times New Roman"/>
            <w:b w:val="false"/>
            <w:i w:val="false"/>
            <w:color w:val="000000"/>
            <w:sz w:val="22"/>
          </w:rPr>
          <w:t>261E.3(3)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that fee may also be charged to participating secondary students on the same basis as it is charged to postsecondary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institutions will provide the teacher or instructor appropriate orientation and training in secondary and postsecondary professional development related to curriculum, pedagogy, assessment, policy implementation, technology, and discipline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institutions will provide the teacher or instructor adequate notification of an assignment to teach a course under this chapter, as well as adequate preparation time to ensure that the course is taught at the college level. The specifics of this paragraph are locally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school district or accredited nonpublic school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under Iowa Code sections </w:t>
      </w:r>
      <w:hyperlink r:id="rId17">
        <w:r>
          <w:rPr>
            <w:rStyle w:val="Hyperlink"/>
            <w:rFonts w:ascii="Times New Roman" w:hAnsi="Times New Roman"/>
            <w:b w:val="false"/>
            <w:i w:val="false"/>
            <w:color w:val="000000"/>
            <w:sz w:val="22"/>
          </w:rPr>
          <w:t>257.11(3)</w:t>
        </w:r>
      </w:hyperlink>
      <w:r>
        <w:rPr>
          <w:rFonts w:ascii="Times New Roman" w:hAnsi="Times New Roman"/>
          <w:b w:val="false"/>
          <w:i/>
          <w:color w:val="000000"/>
          <w:sz w:val="22"/>
        </w:rPr>
        <w:t>“c,”</w:t>
      </w:r>
      <w:hyperlink r:id="rId18">
        <w:r>
          <w:rPr>
            <w:rStyle w:val="Hyperlink"/>
            <w:rFonts w:ascii="Times New Roman" w:hAnsi="Times New Roman"/>
            <w:b w:val="false"/>
            <w:i w:val="false"/>
            <w:color w:val="000000"/>
            <w:sz w:val="22"/>
          </w:rPr>
          <w:t>261E.8(2)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 the school district or accredited nonpublic school shall certify annually to the department, as an assurance in the district’s or accredited nonpublic school’s basic education data survey, that the course provided to a high school student for postsecondary credit in accordance with this chapter supplements, and does not supplant, a course provided by the school district or accredited nonpublic school in which the student is enrolled. For purposes of these rules, to comply with the supplement-not-supplant requirement, the content of a course provided to a high school student for postsecondary credit is not to consist of substantially the same concepts and skills as the content of a course provided by the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teacher or instructor is employed by an eligible postsecondary institution, the school district or accredited nonpublic school will pay for the background investigation but may request reimbursement of the actual cost to the eligible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eligible postsecondary institution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eligible postsecondary institutions providing programming under this chapter will include the unique student identifier assigned to students while in the kindergarten through grade 12 system as a part of the institution’s student data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institutions providing programming under this chapter will cooperate with the department on data requests related to the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eligible postsecondary institutions providing programming under this chapter are to collect data and report to the department on the proportion of females and minorities enrolled in science-, technology-, engineering-, and mathematics-oriented educational opportunities provided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eligible postsecondary institution will provide the teacher or instructor with ongoing communication and access to instructional resources and support and encourage the teacher or instructor to participate in the postsecondary institution’s academic departmental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ADVANCED PLACEMENT PROGRAM</w:t>
      </w:r>
    </w:p>
    <w:p>
      <w:pPr>
        <w:spacing w:before="0" w:after="0"/>
        <w:ind w:left="120"/>
        <w:jc w:val="both"/>
      </w:pPr>
      <w:r>
        <w:rPr>
          <w:rFonts w:ascii="Times New Roman" w:hAnsi="Times New Roman"/>
          <w:b/>
          <w:i w:val="false"/>
          <w:color w:val="000000"/>
          <w:sz w:val="22"/>
        </w:rPr>
        <w:t>281—22.5</w:t>
      </w:r>
      <w:r>
        <w:rPr>
          <w:rFonts w:ascii="Times New Roman" w:hAnsi="Times New Roman"/>
          <w:b/>
          <w:i w:val="false"/>
          <w:color w:val="000000"/>
          <w:sz w:val="22"/>
        </w:rPr>
        <w:t xml:space="preserve">(261E) </w:t>
      </w:r>
      <w:r>
        <w:rPr>
          <w:rFonts w:ascii="Times New Roman" w:hAnsi="Times New Roman"/>
          <w:b/>
          <w:i w:val="false"/>
          <w:color w:val="000000"/>
          <w:sz w:val="22"/>
        </w:rPr>
        <w:t xml:space="preserve">School district obligations. </w:t>
      </w:r>
      <w:r>
        <w:rPr>
          <w:rFonts w:ascii="Times New Roman" w:hAnsi="Times New Roman"/>
          <w:b w:val="false"/>
          <w:i w:val="false"/>
          <w:color w:val="000000"/>
          <w:sz w:val="22"/>
        </w:rPr>
        <w:t xml:space="preserve">School districts will make advanced placement courses available to students under the terms of Iowa Code section </w:t>
      </w:r>
      <w:hyperlink r:id="rId20">
        <w:r>
          <w:rPr>
            <w:rStyle w:val="Hyperlink"/>
            <w:rFonts w:ascii="Times New Roman" w:hAnsi="Times New Roman"/>
            <w:b w:val="false"/>
            <w:i w:val="false"/>
            <w:color w:val="000000"/>
            <w:sz w:val="22"/>
          </w:rPr>
          <w:t>261E.4</w:t>
        </w:r>
      </w:hyperlink>
      <w:r>
        <w:rPr>
          <w:rFonts w:ascii="Times New Roman" w:hAnsi="Times New Roman"/>
          <w:b w:val="false"/>
          <w:i w:val="false"/>
          <w:color w:val="000000"/>
          <w:sz w:val="22"/>
        </w:rPr>
        <w:t>, including making such coursework available to a dually enrolled student under competent private instruction or to a student enrolled in an accredited nonpublic school located in the district if the student meets the same criteria as a regularly enrolled student of the district. An international baccalaureate program is not an advanced placement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281—22.6</w:t>
      </w:r>
      <w:r>
        <w:rPr>
          <w:rFonts w:ascii="Times New Roman" w:hAnsi="Times New Roman"/>
          <w:b/>
          <w:i w:val="false"/>
          <w:color w:val="000000"/>
          <w:sz w:val="22"/>
        </w:rPr>
        <w:t xml:space="preserve">(261E) </w:t>
      </w:r>
      <w:r>
        <w:rPr>
          <w:rFonts w:ascii="Times New Roman" w:hAnsi="Times New Roman"/>
          <w:b/>
          <w:i w:val="false"/>
          <w:color w:val="000000"/>
          <w:sz w:val="22"/>
        </w:rPr>
        <w:t xml:space="preserve">Obligations regarding registration for advanced placement examinations. </w:t>
      </w:r>
      <w:r>
        <w:rPr>
          <w:rFonts w:ascii="Times New Roman" w:hAnsi="Times New Roman"/>
          <w:b w:val="false"/>
          <w:i w:val="false"/>
          <w:color w:val="000000"/>
          <w:sz w:val="22"/>
        </w:rPr>
        <w:t xml:space="preserve">The board of directors of a school district or authorities in charge of an accredited nonpublic school are governed by Iowa Code section </w:t>
      </w:r>
      <w:hyperlink r:id="rId21">
        <w:r>
          <w:rPr>
            <w:rStyle w:val="Hyperlink"/>
            <w:rFonts w:ascii="Times New Roman" w:hAnsi="Times New Roman"/>
            <w:b w:val="false"/>
            <w:i w:val="false"/>
            <w:color w:val="000000"/>
            <w:sz w:val="22"/>
          </w:rPr>
          <w:t>261E.5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CONCURRENT ENROLLMENT PROGRAM</w:t>
      </w:r>
    </w:p>
    <w:p>
      <w:pPr>
        <w:spacing w:before="0" w:after="0"/>
        <w:ind w:left="120"/>
        <w:jc w:val="both"/>
      </w:pPr>
      <w:r>
        <w:rPr>
          <w:rFonts w:ascii="Times New Roman" w:hAnsi="Times New Roman"/>
          <w:b/>
          <w:i w:val="false"/>
          <w:color w:val="000000"/>
          <w:sz w:val="22"/>
        </w:rPr>
        <w:t>281—22.7</w:t>
      </w:r>
      <w:r>
        <w:rPr>
          <w:rFonts w:ascii="Times New Roman" w:hAnsi="Times New Roman"/>
          <w:b/>
          <w:i w:val="false"/>
          <w:color w:val="000000"/>
          <w:sz w:val="22"/>
        </w:rPr>
        <w:t xml:space="preserve">(261E)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concurrent enrollment program, also known as district-to-community college sharing, is subject to the provisions of Iowa Code section </w:t>
      </w:r>
      <w:hyperlink r:id="rId22">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 xml:space="preserve">. A student enrolled in a career and technical course under this division does not have to meet the proficiency requirements set forth in Iowa Code section </w:t>
      </w:r>
      <w:hyperlink r:id="rId23">
        <w:r>
          <w:rPr>
            <w:rStyle w:val="Hyperlink"/>
            <w:rFonts w:ascii="Times New Roman" w:hAnsi="Times New Roman"/>
            <w:b w:val="false"/>
            <w:i w:val="false"/>
            <w:color w:val="000000"/>
            <w:sz w:val="22"/>
          </w:rPr>
          <w:t>261E.3(1)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Auditing not allowed. </w:t>
      </w:r>
      <w:r>
        <w:rPr>
          <w:rFonts w:ascii="Times New Roman" w:hAnsi="Times New Roman"/>
          <w:b w:val="false"/>
          <w:i w:val="false"/>
          <w:color w:val="000000"/>
          <w:sz w:val="22"/>
        </w:rPr>
        <w:t>Students are not permitted to audit a concurrent enrollment course; students are to take the course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Regardless of whether a district receives supplementary weighted funding, the district will not charge tuition to any of its students who participate in a concurrent enrollment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 xml:space="preserve">Institutions participating in the program established by this rule will comply with data reporting and verification processes established by the department, including the data elements set forth in Iowa Code section </w:t>
      </w:r>
      <w:hyperlink r:id="rId24">
        <w:r>
          <w:rPr>
            <w:rStyle w:val="Hyperlink"/>
            <w:rFonts w:ascii="Times New Roman" w:hAnsi="Times New Roman"/>
            <w:b w:val="false"/>
            <w:i w:val="false"/>
            <w:color w:val="000000"/>
            <w:sz w:val="22"/>
          </w:rPr>
          <w:t>261E.8(9)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w:t>
      </w:r>
      <w:r>
        <w:rPr>
          <w:rFonts w:ascii="Times New Roman" w:hAnsi="Times New Roman"/>
          <w:b w:val="false"/>
          <w:i w:val="false"/>
          <w:color w:val="000000"/>
          <w:sz w:val="22"/>
        </w:rPr>
        <w:t xml:space="preserve">Students in independent private instruction or in competent private instruction under Iowa Code chapter </w:t>
      </w:r>
      <w:hyperlink r:id="rId2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may access courses under this division without the course limit contained in </w:t>
      </w:r>
      <w:hyperlink r:id="rId26">
        <w:r>
          <w:rPr>
            <w:rStyle w:val="Hyperlink"/>
            <w:rFonts w:ascii="Times New Roman" w:hAnsi="Times New Roman"/>
            <w:b w:val="false"/>
            <w:i w:val="false"/>
            <w:color w:val="000000"/>
            <w:sz w:val="22"/>
          </w:rPr>
          <w:t>281—Chapter 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281—22.8</w:t>
      </w:r>
      <w:r>
        <w:rPr>
          <w:rFonts w:ascii="Times New Roman" w:hAnsi="Times New Roman"/>
          <w:b/>
          <w:i w:val="false"/>
          <w:color w:val="000000"/>
          <w:sz w:val="22"/>
        </w:rPr>
        <w:t xml:space="preserve">(261E) </w:t>
      </w:r>
      <w:r>
        <w:rPr>
          <w:rFonts w:ascii="Times New Roman" w:hAnsi="Times New Roman"/>
          <w:b/>
          <w:i w:val="false"/>
          <w:color w:val="000000"/>
          <w:sz w:val="22"/>
        </w:rPr>
        <w:t xml:space="preserve">Accredited nonpublic school concurrent enrollment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In addition to enrollment through a school district as authorized under rule </w:t>
      </w:r>
      <w:hyperlink r:id="rId27">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 students enrolled at an accredited nonpublic school may access concurrent enrollment coursework through a direct contract between the authorities in charge of an accredited nonpublic school and 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any coursework delivered through a contract established pursuant to this rule, students, institutions, and instructors will meet the requirements for concurrent enrollment established under rule </w:t>
      </w:r>
      <w:hyperlink r:id="rId28">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 However, such coursework is not eligible for funding under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 xml:space="preserve">Subject to the appropriation of funds by the Iowa legislature for such purposes, coursework delivered through a contract between the authorities in charge of an accredited nonpublic school and a community college pursuant to this rule may be eligible for funding under rule </w:t>
      </w:r>
      <w:hyperlink r:id="rId29">
        <w:r>
          <w:rPr>
            <w:rStyle w:val="Hyperlink"/>
            <w:rFonts w:ascii="Times New Roman" w:hAnsi="Times New Roman"/>
            <w:b w:val="false"/>
            <w:i w:val="false"/>
            <w:color w:val="000000"/>
            <w:sz w:val="22"/>
          </w:rPr>
          <w:t>281—97.7</w:t>
        </w:r>
      </w:hyperlink>
      <w:r>
        <w:rPr>
          <w:rFonts w:ascii="Times New Roman" w:hAnsi="Times New Roman"/>
          <w:b w:val="false"/>
          <w:i w:val="false"/>
          <w:color w:val="000000"/>
          <w:sz w:val="22"/>
        </w:rPr>
        <w:t>(257).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Institutions participating in a contract pursuant to this rule are to comply with data reporting and verification processes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POSTSECONDARY ENROLLMENT OPTIONS PROGRAM</w:t>
      </w:r>
    </w:p>
    <w:p>
      <w:pPr>
        <w:spacing w:before="0" w:after="0"/>
        <w:ind w:left="120"/>
        <w:jc w:val="both"/>
      </w:pPr>
      <w:r>
        <w:rPr>
          <w:rFonts w:ascii="Times New Roman" w:hAnsi="Times New Roman"/>
          <w:b/>
          <w:i w:val="false"/>
          <w:color w:val="000000"/>
          <w:sz w:val="22"/>
        </w:rPr>
        <w:t>281—22.9</w:t>
      </w:r>
      <w:r>
        <w:rPr>
          <w:rFonts w:ascii="Times New Roman" w:hAnsi="Times New Roman"/>
          <w:b/>
          <w:i w:val="false"/>
          <w:color w:val="000000"/>
          <w:sz w:val="22"/>
        </w:rPr>
        <w:t xml:space="preserve">(261E) </w:t>
      </w:r>
      <w:r>
        <w:rPr>
          <w:rFonts w:ascii="Times New Roman" w:hAnsi="Times New Roman"/>
          <w:b/>
          <w:i w:val="false"/>
          <w:color w:val="000000"/>
          <w:sz w:val="22"/>
        </w:rPr>
        <w:t xml:space="preserve">Postsecondary enrollment options program—general. </w:t>
      </w:r>
      <w:r>
        <w:rPr>
          <w:rFonts w:ascii="Times New Roman" w:hAnsi="Times New Roman"/>
          <w:b w:val="false"/>
          <w:i w:val="false"/>
          <w:color w:val="000000"/>
          <w:sz w:val="22"/>
        </w:rPr>
        <w:t xml:space="preserve">The postsecondary enrollment options (PSEO) program is established pursuant to the terms of Iowa Code section </w:t>
      </w:r>
      <w:hyperlink r:id="rId30">
        <w:r>
          <w:rPr>
            <w:rStyle w:val="Hyperlink"/>
            <w:rFonts w:ascii="Times New Roman" w:hAnsi="Times New Roman"/>
            <w:b w:val="false"/>
            <w:i w:val="false"/>
            <w:color w:val="000000"/>
            <w:sz w:val="22"/>
          </w:rPr>
          <w:t>261E.6</w:t>
        </w:r>
      </w:hyperlink>
      <w:r>
        <w:rPr>
          <w:rFonts w:ascii="Times New Roman" w:hAnsi="Times New Roman"/>
          <w:b w:val="false"/>
          <w:i w:val="false"/>
          <w:color w:val="000000"/>
          <w:sz w:val="22"/>
        </w:rPr>
        <w:t>. PSEO programming provided by a school district pursuant to this division may be but is not required to be available to students on a year-round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281—22.10</w:t>
      </w:r>
      <w:r>
        <w:rPr>
          <w:rFonts w:ascii="Times New Roman" w:hAnsi="Times New Roman"/>
          <w:b/>
          <w:i w:val="false"/>
          <w:color w:val="000000"/>
          <w:sz w:val="22"/>
        </w:rPr>
        <w:t xml:space="preserve">(261E)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 xml:space="preserve">Student eligibility is described in Iowa Code section </w:t>
      </w:r>
      <w:hyperlink r:id="rId31">
        <w:r>
          <w:rPr>
            <w:rStyle w:val="Hyperlink"/>
            <w:rFonts w:ascii="Times New Roman" w:hAnsi="Times New Roman"/>
            <w:b w:val="false"/>
            <w:i w:val="false"/>
            <w:color w:val="000000"/>
            <w:sz w:val="22"/>
          </w:rPr>
          <w:t>261E.6(6)</w:t>
        </w:r>
      </w:hyperlink>
      <w:r>
        <w:rPr>
          <w:rFonts w:ascii="Times New Roman" w:hAnsi="Times New Roman"/>
          <w:b w:val="false"/>
          <w:i w:val="false"/>
          <w:color w:val="000000"/>
          <w:sz w:val="22"/>
        </w:rPr>
        <w:t>. Persons who have graduated from high school are not eligible for this program. Students who are not residents of Iowa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nonpublic school who meets all eligibility requirements may apply to take courses under this division in the school district where the accredited nonpublic school is located, provided that neither the accredited nonpublic school nor the school district offers a comparable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A student under competent private instruction who meets the eligibility requirements in this chapter may apply to take courses under this division through the public school district in which the student is dually enrolled, provided that the resident school district does not offer a comparable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Postsecondary institutions may require students to meet appropriate standards or requirements for entrance into a course, which may include prerequisite courses, scores on national academic aptitude and achievement tests, or other evaluation procedures to determine competency. Acceptance of a student into a course by a postsecondary institution is not a guarantee that a student will be enrolled in all requested courses. Priority may be given to postsecondary students before eligible secondary students are enrolled in courses. However, once an eligible secondary student has enrolled in a postsecondary course, the student cannot be displaced by another student for the duration of the course. Students must take the course for credit (no auditing of courses allowed) and meet all of the requirements of the course that are required of postsecondary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281—22.11</w:t>
      </w:r>
      <w:r>
        <w:rPr>
          <w:rFonts w:ascii="Times New Roman" w:hAnsi="Times New Roman"/>
          <w:b/>
          <w:i w:val="false"/>
          <w:color w:val="000000"/>
          <w:sz w:val="22"/>
        </w:rPr>
        <w:t xml:space="preserve">(261E) </w:t>
      </w:r>
      <w:r>
        <w:rPr>
          <w:rFonts w:ascii="Times New Roman" w:hAnsi="Times New Roman"/>
          <w:b/>
          <w:i w:val="false"/>
          <w:color w:val="000000"/>
          <w:sz w:val="22"/>
        </w:rPr>
        <w:t xml:space="preserve">Eligible postsecondary courses. </w:t>
      </w:r>
      <w:r>
        <w:rPr>
          <w:rFonts w:ascii="Times New Roman" w:hAnsi="Times New Roman"/>
          <w:b w:val="false"/>
          <w:i w:val="false"/>
          <w:color w:val="000000"/>
          <w:sz w:val="22"/>
        </w:rPr>
        <w:t>These rules are intended to implement the policy of the state to promote rigorous academic pursuits.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Postsecondary courses eligible for students to enroll in under this division are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Nonsectarian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that are not comparable to courses offered by the school district where the student attends that are defined in rules adopted by the board of directors of the public school district. For purposes of these rules, “comparable” is not synonymous with “identical,” but means that the content of a course provided to a high school student for postsecondary credit consists of substantially the same concepts and skills as the content of a course provided by the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Credit-bearing courses that lead to an educational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Courses in the discipline areas of mathematics, science, social sciences, humanities, and vocational-technical education; and also the courses in career option programs offered by area schools established under the authorization provided in Iowa Code chapter </w:t>
      </w:r>
      <w:hyperlink r:id="rId32">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A school district or accredited nonpublic school will grant academic or vocational-technical credit to an eligible student enrolled in an eligible postsecondary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is ineligible for purposes of this rule if the school district has a contractual agreement with the eligible postsecondary institution under Iowa Code section </w:t>
      </w:r>
      <w:hyperlink r:id="rId33">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 xml:space="preserve"> that meets the requirements of Iowa Code section </w:t>
      </w:r>
      <w:hyperlink r:id="rId34">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 xml:space="preserve"> and if the course may be delivered through such an agreement in accordance with Iowa Code section </w:t>
      </w:r>
      <w:hyperlink r:id="rId35">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 xml:space="preserve">Matters pertaining to the granting and awarding of credit are set forth in Iowa Code section </w:t>
      </w:r>
      <w:hyperlink r:id="rId36">
        <w:r>
          <w:rPr>
            <w:rStyle w:val="Hyperlink"/>
            <w:rFonts w:ascii="Times New Roman" w:hAnsi="Times New Roman"/>
            <w:b w:val="false"/>
            <w:i w:val="false"/>
            <w:color w:val="000000"/>
            <w:sz w:val="22"/>
          </w:rPr>
          <w:t>261E.6(4)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281—22.12</w:t>
      </w:r>
      <w:r>
        <w:rPr>
          <w:rFonts w:ascii="Times New Roman" w:hAnsi="Times New Roman"/>
          <w:b/>
          <w:i w:val="false"/>
          <w:color w:val="000000"/>
          <w:sz w:val="22"/>
        </w:rPr>
        <w:t xml:space="preserve">(261E)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The application process is set forth in Iowa Code section </w:t>
      </w:r>
      <w:hyperlink r:id="rId37">
        <w:r>
          <w:rPr>
            <w:rStyle w:val="Hyperlink"/>
            <w:rFonts w:ascii="Times New Roman" w:hAnsi="Times New Roman"/>
            <w:b w:val="false"/>
            <w:i w:val="false"/>
            <w:color w:val="000000"/>
            <w:sz w:val="22"/>
          </w:rPr>
          <w:t>261E.6(3)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281—22.13</w:t>
      </w:r>
      <w:r>
        <w:rPr>
          <w:rFonts w:ascii="Times New Roman" w:hAnsi="Times New Roman"/>
          <w:b/>
          <w:i w:val="false"/>
          <w:color w:val="000000"/>
          <w:sz w:val="22"/>
        </w:rPr>
        <w:t xml:space="preserve">(261E)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The parent or guardian of an eligible student who has enrolled in and is attending an eligible postsecondary institution under this division is solely responsible to furnish transportation to and from the postsecondary institution for the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281—22.14</w:t>
      </w:r>
      <w:r>
        <w:rPr>
          <w:rFonts w:ascii="Times New Roman" w:hAnsi="Times New Roman"/>
          <w:b/>
          <w:i w:val="false"/>
          <w:color w:val="000000"/>
          <w:sz w:val="22"/>
        </w:rPr>
        <w:t xml:space="preserve">(261E) </w:t>
      </w:r>
      <w:r>
        <w:rPr>
          <w:rFonts w:ascii="Times New Roman" w:hAnsi="Times New Roman"/>
          <w:b/>
          <w:i w:val="false"/>
          <w:color w:val="000000"/>
          <w:sz w:val="22"/>
        </w:rPr>
        <w:t xml:space="preserve">Payments, claims, and reimbursements. </w:t>
      </w:r>
      <w:r>
        <w:rPr>
          <w:rFonts w:ascii="Times New Roman" w:hAnsi="Times New Roman"/>
          <w:b w:val="false"/>
          <w:i w:val="false"/>
          <w:color w:val="000000"/>
          <w:sz w:val="22"/>
        </w:rPr>
        <w:t xml:space="preserve">Payments, claims, and reimbursements, including reimbursements and adjustments, under this division are set forth in Iowa Code section </w:t>
      </w:r>
      <w:hyperlink r:id="rId38">
        <w:r>
          <w:rPr>
            <w:rStyle w:val="Hyperlink"/>
            <w:rFonts w:ascii="Times New Roman" w:hAnsi="Times New Roman"/>
            <w:b w:val="false"/>
            <w:i w:val="false"/>
            <w:color w:val="000000"/>
            <w:sz w:val="22"/>
          </w:rPr>
          <w:t>261E.7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CAREER ACADEMIES</w:t>
      </w:r>
    </w:p>
    <w:p>
      <w:pPr>
        <w:spacing w:before="0" w:after="0"/>
        <w:ind w:left="120"/>
        <w:jc w:val="both"/>
      </w:pPr>
      <w:r>
        <w:rPr>
          <w:rFonts w:ascii="Times New Roman" w:hAnsi="Times New Roman"/>
          <w:b/>
          <w:i w:val="false"/>
          <w:color w:val="000000"/>
          <w:sz w:val="22"/>
        </w:rPr>
        <w:t>281—22.15</w:t>
      </w:r>
      <w:r>
        <w:rPr>
          <w:rFonts w:ascii="Times New Roman" w:hAnsi="Times New Roman"/>
          <w:b/>
          <w:i w:val="false"/>
          <w:color w:val="000000"/>
          <w:sz w:val="22"/>
        </w:rPr>
        <w:t xml:space="preserve">(261E) </w:t>
      </w:r>
      <w:r>
        <w:rPr>
          <w:rFonts w:ascii="Times New Roman" w:hAnsi="Times New Roman"/>
          <w:b/>
          <w:i w:val="false"/>
          <w:color w:val="000000"/>
          <w:sz w:val="22"/>
        </w:rPr>
        <w:t xml:space="preserve">Career academies. </w:t>
      </w:r>
      <w:r>
        <w:rPr>
          <w:rFonts w:ascii="Times New Roman" w:hAnsi="Times New Roman"/>
          <w:b w:val="false"/>
          <w:i w:val="false"/>
          <w:color w:val="000000"/>
          <w:sz w:val="22"/>
        </w:rPr>
        <w:t xml:space="preserve">A career academy is defined in Iowa Code section </w:t>
      </w:r>
      <w:hyperlink r:id="rId39">
        <w:r>
          <w:rPr>
            <w:rStyle w:val="Hyperlink"/>
            <w:rFonts w:ascii="Times New Roman" w:hAnsi="Times New Roman"/>
            <w:b w:val="false"/>
            <w:i w:val="false"/>
            <w:color w:val="000000"/>
            <w:sz w:val="22"/>
          </w:rPr>
          <w:t>258.6</w:t>
        </w:r>
      </w:hyperlink>
      <w:r>
        <w:rPr>
          <w:rFonts w:ascii="Times New Roman" w:hAnsi="Times New Roman"/>
          <w:b w:val="false"/>
          <w:i w:val="false"/>
          <w:color w:val="000000"/>
          <w:sz w:val="22"/>
        </w:rPr>
        <w:t xml:space="preserve">. Career academies are established and governed by Iowa Code section </w:t>
      </w:r>
      <w:hyperlink r:id="rId40">
        <w:r>
          <w:rPr>
            <w:rStyle w:val="Hyperlink"/>
            <w:rFonts w:ascii="Times New Roman" w:hAnsi="Times New Roman"/>
            <w:b w:val="false"/>
            <w:i w:val="false"/>
            <w:color w:val="000000"/>
            <w:sz w:val="22"/>
          </w:rPr>
          <w:t>261E.10</w:t>
        </w:r>
      </w:hyperlink>
      <w:r>
        <w:rPr>
          <w:rFonts w:ascii="Times New Roman" w:hAnsi="Times New Roman"/>
          <w:b w:val="false"/>
          <w:i w:val="false"/>
          <w:color w:val="000000"/>
          <w:sz w:val="22"/>
        </w:rPr>
        <w:t>, which is incorporated by this reference. A course offered by a career academy will not qualify as a regional academy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REGIONAL ACADEMIES</w:t>
      </w:r>
    </w:p>
    <w:p>
      <w:pPr>
        <w:spacing w:before="0" w:after="0"/>
        <w:ind w:left="120"/>
        <w:jc w:val="both"/>
      </w:pPr>
      <w:r>
        <w:rPr>
          <w:rFonts w:ascii="Times New Roman" w:hAnsi="Times New Roman"/>
          <w:b/>
          <w:i w:val="false"/>
          <w:color w:val="000000"/>
          <w:sz w:val="22"/>
        </w:rPr>
        <w:t>281—22.16</w:t>
      </w:r>
      <w:r>
        <w:rPr>
          <w:rFonts w:ascii="Times New Roman" w:hAnsi="Times New Roman"/>
          <w:b/>
          <w:i w:val="false"/>
          <w:color w:val="000000"/>
          <w:sz w:val="22"/>
        </w:rPr>
        <w:t xml:space="preserve">(261E) </w:t>
      </w:r>
      <w:r>
        <w:rPr>
          <w:rFonts w:ascii="Times New Roman" w:hAnsi="Times New Roman"/>
          <w:b/>
          <w:i w:val="false"/>
          <w:color w:val="000000"/>
          <w:sz w:val="22"/>
        </w:rPr>
        <w:t xml:space="preserve">Regional academies. </w:t>
      </w:r>
      <w:r>
        <w:rPr>
          <w:rFonts w:ascii="Times New Roman" w:hAnsi="Times New Roman"/>
          <w:b w:val="false"/>
          <w:i w:val="false"/>
          <w:color w:val="000000"/>
          <w:sz w:val="22"/>
        </w:rPr>
        <w:t xml:space="preserve">A regional academy is a program established and governed by Iowa Code section </w:t>
      </w:r>
      <w:hyperlink r:id="rId41">
        <w:r>
          <w:rPr>
            <w:rStyle w:val="Hyperlink"/>
            <w:rFonts w:ascii="Times New Roman" w:hAnsi="Times New Roman"/>
            <w:b w:val="false"/>
            <w:i w:val="false"/>
            <w:color w:val="000000"/>
            <w:sz w:val="22"/>
          </w:rPr>
          <w:t>261E.9</w:t>
        </w:r>
      </w:hyperlink>
      <w:r>
        <w:rPr>
          <w:rFonts w:ascii="Times New Roman" w:hAnsi="Times New Roman"/>
          <w:b w:val="false"/>
          <w:i w:val="false"/>
          <w:color w:val="000000"/>
          <w:sz w:val="22"/>
        </w:rPr>
        <w:t>, which is incorporated by this reference. School districts participating in a regional academy pursuant to this rule are to comply with the application and verification processes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INTERNET-BASED COURSEWORK</w:t>
      </w:r>
    </w:p>
    <w:p>
      <w:pPr>
        <w:spacing w:before="0" w:after="0"/>
        <w:ind w:left="120"/>
        <w:jc w:val="both"/>
      </w:pPr>
      <w:r>
        <w:rPr>
          <w:rFonts w:ascii="Times New Roman" w:hAnsi="Times New Roman"/>
          <w:b/>
          <w:i w:val="false"/>
          <w:color w:val="000000"/>
          <w:sz w:val="22"/>
        </w:rPr>
        <w:t>281—22.17</w:t>
      </w:r>
      <w:r>
        <w:rPr>
          <w:rFonts w:ascii="Times New Roman" w:hAnsi="Times New Roman"/>
          <w:b/>
          <w:i w:val="false"/>
          <w:color w:val="000000"/>
          <w:sz w:val="22"/>
        </w:rPr>
        <w:t xml:space="preserve">(261E) </w:t>
      </w:r>
      <w:r>
        <w:rPr>
          <w:rFonts w:ascii="Times New Roman" w:hAnsi="Times New Roman"/>
          <w:b/>
          <w:i w:val="false"/>
          <w:color w:val="000000"/>
          <w:sz w:val="22"/>
        </w:rPr>
        <w:t xml:space="preserve">Internet-based coursework. </w:t>
      </w:r>
      <w:r>
        <w:rPr>
          <w:rFonts w:ascii="Times New Roman" w:hAnsi="Times New Roman"/>
          <w:b w:val="false"/>
          <w:i w:val="false"/>
          <w:color w:val="000000"/>
          <w:sz w:val="22"/>
        </w:rPr>
        <w:t xml:space="preserve">The programming in this chapter may be delivered as specified in Iowa Code section </w:t>
      </w:r>
      <w:hyperlink r:id="rId42">
        <w:r>
          <w:rPr>
            <w:rStyle w:val="Hyperlink"/>
            <w:rFonts w:ascii="Times New Roman" w:hAnsi="Times New Roman"/>
            <w:b w:val="false"/>
            <w:i w:val="false"/>
            <w:color w:val="000000"/>
            <w:sz w:val="22"/>
          </w:rPr>
          <w:t>261E.11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PROJECT LEAD THE WAY</w:t>
      </w:r>
    </w:p>
    <w:p>
      <w:pPr>
        <w:spacing w:before="0" w:after="0"/>
        <w:ind w:left="120"/>
        <w:jc w:val="both"/>
      </w:pPr>
      <w:r>
        <w:rPr>
          <w:rFonts w:ascii="Times New Roman" w:hAnsi="Times New Roman"/>
          <w:b/>
          <w:i w:val="false"/>
          <w:color w:val="000000"/>
          <w:sz w:val="22"/>
        </w:rPr>
        <w:t>281—22.18</w:t>
      </w:r>
      <w:r>
        <w:rPr>
          <w:rFonts w:ascii="Times New Roman" w:hAnsi="Times New Roman"/>
          <w:b/>
          <w:i w:val="false"/>
          <w:color w:val="000000"/>
          <w:sz w:val="22"/>
        </w:rPr>
        <w:t xml:space="preserve">(261E) </w:t>
      </w:r>
      <w:r>
        <w:rPr>
          <w:rFonts w:ascii="Times New Roman" w:hAnsi="Times New Roman"/>
          <w:b/>
          <w:i w:val="false"/>
          <w:color w:val="000000"/>
          <w:sz w:val="22"/>
        </w:rPr>
        <w:t xml:space="preserve">Project lead the way.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color w:val="000000"/>
          <w:sz w:val="22"/>
        </w:rPr>
        <w:t xml:space="preserve">Program established. </w:t>
      </w:r>
      <w:r>
        <w:rPr>
          <w:rFonts w:ascii="Times New Roman" w:hAnsi="Times New Roman"/>
          <w:b w:val="false"/>
          <w:i w:val="false"/>
          <w:color w:val="000000"/>
          <w:sz w:val="22"/>
        </w:rPr>
        <w:t>A project lead the way program is established to be administered by the department to promote rigorous science, technology, engineering, and mathematics pursuits.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school district shall provide descriptions of the project lead the way courses available to students using a course registration handbook. The handbook is to identify which courses, if successfully completed, generate college credit under the program. Information about available project lead the way courses is to be provided to every junior high school student or middle school student prior to the development of a core curriculum plan pursuant to Iowa Code section </w:t>
      </w:r>
      <w:hyperlink r:id="rId43">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Students from accredited nonpublic schools and students receiving competent private instruction under Iowa Code chapter </w:t>
      </w:r>
      <w:hyperlink r:id="rId4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may access the program through the school district in which the accredited nonpublic school or private institution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22.18(4)</w:t>
      </w: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A school district offering a project lead the way program will offer the curriculum developed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22.18(5)</w:t>
      </w: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A school district will ensure that a teacher or instructor employed to provide instruction under this rule meets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 has successfully completed the training required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teacher meets the minimum requirements of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participates, on a regular basis, in available professional development provided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22.18(6)</w:t>
      </w:r>
      <w:r>
        <w:rPr>
          <w:rFonts w:ascii="Times New Roman" w:hAnsi="Times New Roman"/>
          <w:b w:val="false"/>
          <w:i w:val="false"/>
          <w:color w:val="000000"/>
          <w:sz w:val="22"/>
        </w:rPr>
        <w:t> </w:t>
      </w:r>
      <w:r>
        <w:rPr>
          <w:rFonts w:ascii="Times New Roman" w:hAnsi="Times New Roman"/>
          <w:b w:val="false"/>
          <w:i/>
          <w:color w:val="000000"/>
          <w:sz w:val="22"/>
        </w:rPr>
        <w:t xml:space="preserve">Accreditation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lead the way course may apply toward high school program accreditation standards pursuant to </w:t>
      </w:r>
      <w:hyperlink r:id="rId4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To meet the requirement, the instructor must be appropriately licensed and endorsed by the board of educational examiners to teach the subject area of the accreditation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lead the way course being taught is within a career and technical education program or is one in a sequence of project lead the way courses that collectively are used to meet one of the career and technical education sequential unit requirements of </w:t>
      </w:r>
      <w:hyperlink r:id="rId46">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the program must be approved by the department pursuant to </w:t>
      </w:r>
      <w:hyperlink r:id="rId47">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project lead the way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collaborative program for project lead the way courses is established to be administered by the department to promote rigorous science, technology, engineering, and mathematics pursuits in partnership with a community college established under Iowa Code chapter </w:t>
      </w:r>
      <w:hyperlink r:id="rId48">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The program is to be made available to all resident students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comparable course, as defined in rules adopted by the board of directors of the school district consistent with department administrative rule, is not offered by the school district or accredited nonpublic school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school district is to be certified by the national organization that administers the project lead the way program and have a signed agreement with that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institutions, instructors, and students are to meet the provisions of Iowa Code section </w:t>
      </w:r>
      <w:hyperlink r:id="rId49">
        <w:r>
          <w:rPr>
            <w:rStyle w:val="Hyperlink"/>
            <w:rFonts w:ascii="Times New Roman" w:hAnsi="Times New Roman"/>
            <w:b w:val="false"/>
            <w:i w:val="false"/>
            <w:color w:val="000000"/>
            <w:sz w:val="22"/>
          </w:rPr>
          <w:t>261E.3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school district may set additional eligibility requirements to ensure student readiness to achieve success. All students in the shared course are to meet the expectations of the national organization that administers the project lead the way program and be registered for college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district-to-community college sharing program for project lead the way courses that meets the requirements of </w:t>
      </w:r>
      <w:hyperlink r:id="rId50">
        <w:r>
          <w:rPr>
            <w:rStyle w:val="Hyperlink"/>
            <w:rFonts w:ascii="Times New Roman" w:hAnsi="Times New Roman"/>
            <w:b w:val="false"/>
            <w:i w:val="false"/>
            <w:color w:val="000000"/>
            <w:sz w:val="22"/>
          </w:rPr>
          <w:t>281—subrule 97.2(6)</w:t>
        </w:r>
      </w:hyperlink>
      <w:r>
        <w:rPr>
          <w:rFonts w:ascii="Times New Roman" w:hAnsi="Times New Roman"/>
          <w:b w:val="false"/>
          <w:i w:val="false"/>
          <w:color w:val="000000"/>
          <w:sz w:val="22"/>
        </w:rPr>
        <w:t xml:space="preserve"> is eligible for funding under that provision for collaborative project lead the way career and technical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22.18(8)</w:t>
      </w:r>
      <w:r>
        <w:rPr>
          <w:rFonts w:ascii="Times New Roman" w:hAnsi="Times New Roman"/>
          <w:b w:val="false"/>
          <w:i w:val="false"/>
          <w:color w:val="000000"/>
          <w:sz w:val="22"/>
        </w:rPr>
        <w:t> </w:t>
      </w:r>
      <w:r>
        <w:rPr>
          <w:rFonts w:ascii="Times New Roman" w:hAnsi="Times New Roman"/>
          <w:b w:val="false"/>
          <w:i/>
          <w:color w:val="000000"/>
          <w:sz w:val="22"/>
        </w:rPr>
        <w:t xml:space="preserve">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district shall grant high school credit to a student enrolled in a project lead the way course not offered by a community college. At a school district’s discretion, a project lead the way course may count toward a school district’s graduation requirements provided that the teacher is licensed by the board of educational examiners and endorsed within the subject area of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district shall grant high school credit to a student enrolled in a project lead the way course for college credit under this chapter if the student successfully completes the course as determined by the community college and the course was previously approved by the school board pursuant to Iowa Code section </w:t>
      </w:r>
      <w:hyperlink r:id="rId51">
        <w:r>
          <w:rPr>
            <w:rStyle w:val="Hyperlink"/>
            <w:rFonts w:ascii="Times New Roman" w:hAnsi="Times New Roman"/>
            <w:b w:val="false"/>
            <w:i w:val="false"/>
            <w:color w:val="000000"/>
            <w:sz w:val="22"/>
          </w:rPr>
          <w:t>261E.8(3)</w:t>
        </w:r>
      </w:hyperlink>
      <w:r>
        <w:rPr>
          <w:rFonts w:ascii="Times New Roman" w:hAnsi="Times New Roman"/>
          <w:b w:val="false"/>
          <w:i w:val="false"/>
          <w:color w:val="000000"/>
          <w:sz w:val="22"/>
        </w:rPr>
        <w:t>. If a student is not successful in completing a project lead the way course as determined by the community college, the student’s high school transcript will reflect the failing grade. The board of directors of the school district determines the number of high school credits to be granted to a student who successfully completes a project lead the way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may offer a project lead the way course as an articulated course. Articulated courses are offered through an agreement between the district and the postsecondary institution that allows students to receive college credit at the postsecondary institution upon matriculation based on the demonstrated mastery of concepts in the high school course. An articulated course shall not be delivered by a postsecondary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SUMMER COLLEGE CREDIT PROGRAM</w:t>
      </w:r>
    </w:p>
    <w:p>
      <w:pPr>
        <w:spacing w:before="0" w:after="0"/>
        <w:ind w:left="120"/>
        <w:jc w:val="both"/>
      </w:pPr>
      <w:r>
        <w:rPr>
          <w:rFonts w:ascii="Times New Roman" w:hAnsi="Times New Roman"/>
          <w:b/>
          <w:i w:val="false"/>
          <w:color w:val="000000"/>
          <w:sz w:val="22"/>
        </w:rPr>
        <w:t>281—22.19</w:t>
      </w:r>
      <w:r>
        <w:rPr>
          <w:rFonts w:ascii="Times New Roman" w:hAnsi="Times New Roman"/>
          <w:b/>
          <w:i w:val="false"/>
          <w:color w:val="000000"/>
          <w:sz w:val="22"/>
        </w:rPr>
        <w:t xml:space="preserve">(261E) </w:t>
      </w:r>
      <w:r>
        <w:rPr>
          <w:rFonts w:ascii="Times New Roman" w:hAnsi="Times New Roman"/>
          <w:b/>
          <w:i w:val="false"/>
          <w:color w:val="000000"/>
          <w:sz w:val="22"/>
        </w:rPr>
        <w:t xml:space="preserve">Summer college credit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22.19(1)</w:t>
      </w:r>
      <w:r>
        <w:rPr>
          <w:rFonts w:ascii="Times New Roman" w:hAnsi="Times New Roman"/>
          <w:b w:val="false"/>
          <w:i w:val="false"/>
          <w:color w:val="000000"/>
          <w:sz w:val="22"/>
        </w:rPr>
        <w:t> </w:t>
      </w:r>
      <w:r>
        <w:rPr>
          <w:rFonts w:ascii="Times New Roman" w:hAnsi="Times New Roman"/>
          <w:b w:val="false"/>
          <w:i/>
          <w:color w:val="000000"/>
          <w:sz w:val="22"/>
        </w:rPr>
        <w:t xml:space="preserve">Program established. </w:t>
      </w:r>
      <w:r>
        <w:rPr>
          <w:rFonts w:ascii="Times New Roman" w:hAnsi="Times New Roman"/>
          <w:b w:val="false"/>
          <w:i w:val="false"/>
          <w:color w:val="000000"/>
          <w:sz w:val="22"/>
        </w:rPr>
        <w:t xml:space="preserve">A summer college credit program is established to expand access for high school students to high-quality career and technical education experiences aligned with career pathways leading to postsecondary credentials and high-demand jobs. Programs approved under subrule </w:t>
      </w:r>
      <w:hyperlink r:id="rId52">
        <w:r>
          <w:rPr>
            <w:rStyle w:val="Hyperlink"/>
            <w:rFonts w:ascii="Times New Roman" w:hAnsi="Times New Roman"/>
            <w:b w:val="false"/>
            <w:i w:val="false"/>
            <w:color w:val="000000"/>
            <w:sz w:val="22"/>
          </w:rPr>
          <w:t>22.19(3)</w:t>
        </w:r>
      </w:hyperlink>
      <w:r>
        <w:rPr>
          <w:rFonts w:ascii="Times New Roman" w:hAnsi="Times New Roman"/>
          <w:b w:val="false"/>
          <w:i w:val="false"/>
          <w:color w:val="000000"/>
          <w:sz w:val="22"/>
        </w:rPr>
        <w:t xml:space="preserve"> will be offered during the summer term of an eligible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22.19(2)</w:t>
      </w:r>
      <w:r>
        <w:rPr>
          <w:rFonts w:ascii="Times New Roman" w:hAnsi="Times New Roman"/>
          <w:b w:val="false"/>
          <w:i w:val="false"/>
          <w:color w:val="000000"/>
          <w:sz w:val="22"/>
        </w:rPr>
        <w:t> </w:t>
      </w:r>
      <w:r>
        <w:rPr>
          <w:rFonts w:ascii="Times New Roman" w:hAnsi="Times New Roman"/>
          <w:b w:val="false"/>
          <w:i/>
          <w:color w:val="000000"/>
          <w:sz w:val="22"/>
        </w:rPr>
        <w:t xml:space="preserve">Type of coursework offered. </w:t>
      </w:r>
      <w:r>
        <w:rPr>
          <w:rFonts w:ascii="Times New Roman" w:hAnsi="Times New Roman"/>
          <w:b w:val="false"/>
          <w:i w:val="false"/>
          <w:color w:val="000000"/>
          <w:sz w:val="22"/>
        </w:rPr>
        <w:t>The following provisions apply to coursework delivered through an approved program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Coursework eligible to be offered through an approved program under this rule will be technical core coursework within and prerequisite coursework for a career and technical education program approved under </w:t>
      </w:r>
      <w:hyperlink r:id="rId53">
        <w:r>
          <w:rPr>
            <w:rStyle w:val="Hyperlink"/>
            <w:rFonts w:ascii="Times New Roman" w:hAnsi="Times New Roman"/>
            <w:b w:val="false"/>
            <w:i w:val="false"/>
            <w:color w:val="000000"/>
            <w:sz w:val="22"/>
          </w:rPr>
          <w:t>281—subrule 21.4(3)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career and technical education program is to be aligned with in-demand occupations identified by the state workforce development board and community colleges pursuant to Iowa Code section </w:t>
      </w:r>
      <w:hyperlink r:id="rId54">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Coursework delivered under this rule shall comply with Iowa Code section </w:t>
      </w:r>
      <w:hyperlink r:id="rId55">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 The course will not be eligible for supplementary weighting under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22.19(3)</w:t>
      </w:r>
      <w:r>
        <w:rPr>
          <w:rFonts w:ascii="Times New Roman" w:hAnsi="Times New Roman"/>
          <w:b w:val="false"/>
          <w:i w:val="false"/>
          <w:color w:val="000000"/>
          <w:sz w:val="22"/>
        </w:rPr>
        <w:t> </w:t>
      </w:r>
      <w:r>
        <w:rPr>
          <w:rFonts w:ascii="Times New Roman" w:hAnsi="Times New Roman"/>
          <w:b w:val="false"/>
          <w:i/>
          <w:color w:val="000000"/>
          <w:sz w:val="22"/>
        </w:rPr>
        <w:t xml:space="preserve">Program proposals. </w:t>
      </w:r>
      <w:r>
        <w:rPr>
          <w:rFonts w:ascii="Times New Roman" w:hAnsi="Times New Roman"/>
          <w:b w:val="false"/>
          <w:i w:val="false"/>
          <w:color w:val="000000"/>
          <w:sz w:val="22"/>
        </w:rPr>
        <w:t>The department will establish an annual process for the submission and review of proposals for summer college credit programs. A postsecondary institution eligible to offer programming under Division III of this chapter may submit program proposals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components. </w:t>
      </w:r>
      <w:r>
        <w:rPr>
          <w:rFonts w:ascii="Times New Roman" w:hAnsi="Times New Roman"/>
          <w:b w:val="false"/>
          <w:i w:val="false"/>
          <w:color w:val="000000"/>
          <w:sz w:val="22"/>
        </w:rPr>
        <w:t>The proposal will detail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program description, including the course or courses to be made available through the program; total number of credit hours; additional cocurricular experiences and activities including project-, problem-, and work-based learning opportunities; additional support services to be made available through the program; and any other pertinent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students that the program is capable of serving.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start date and duration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Enrollment threshold. </w:t>
      </w:r>
      <w:r>
        <w:rPr>
          <w:rFonts w:ascii="Times New Roman" w:hAnsi="Times New Roman"/>
          <w:b w:val="false"/>
          <w:i w:val="false"/>
          <w:color w:val="000000"/>
          <w:sz w:val="22"/>
        </w:rPr>
        <w:t xml:space="preserve">The postsecondary institution will propose, and the department will approve, a minimum program enrollment threshold. Programs that surpass the minimum enrollment threshold shall be eligible for funding under paragraph </w:t>
      </w:r>
      <w:hyperlink r:id="rId56">
        <w:r>
          <w:rPr>
            <w:rStyle w:val="Hyperlink"/>
            <w:rFonts w:ascii="Times New Roman" w:hAnsi="Times New Roman"/>
            <w:b w:val="false"/>
            <w:i w:val="false"/>
            <w:color w:val="000000"/>
            <w:sz w:val="22"/>
          </w:rPr>
          <w:t>22.19(4)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proposals. </w:t>
      </w:r>
      <w:r>
        <w:rPr>
          <w:rFonts w:ascii="Times New Roman" w:hAnsi="Times New Roman"/>
          <w:b w:val="false"/>
          <w:i w:val="false"/>
          <w:color w:val="000000"/>
          <w:sz w:val="22"/>
        </w:rPr>
        <w:t>The department will establish a review process to evaluate all program proposals. In reviewing proposals, the department will give priority consideration to program proposals that will ensure equitable geographic disbursement of approved programs. The department will consider additional criteria including number of students served; alignment with in-demand occupations; the inclusion of extracurricular experiences with an emphasis on project-, problem-, and work-based learning opportunities; and the inclusion of provisions that address and remove barriers to participation for nontraditional students, underrepresented minority students, and low-income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Funding of proposals. </w:t>
      </w:r>
      <w:r>
        <w:rPr>
          <w:rFonts w:ascii="Times New Roman" w:hAnsi="Times New Roman"/>
          <w:b w:val="false"/>
          <w:i w:val="false"/>
          <w:color w:val="000000"/>
          <w:sz w:val="22"/>
        </w:rPr>
        <w:t xml:space="preserve">A program proposal approved under this rule is funded under paragraph </w:t>
      </w:r>
      <w:hyperlink r:id="rId57">
        <w:r>
          <w:rPr>
            <w:rStyle w:val="Hyperlink"/>
            <w:rFonts w:ascii="Times New Roman" w:hAnsi="Times New Roman"/>
            <w:b w:val="false"/>
            <w:i w:val="false"/>
            <w:color w:val="000000"/>
            <w:sz w:val="22"/>
          </w:rPr>
          <w:t>22.19(4)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amount described under paragraph </w:t>
      </w:r>
      <w:hyperlink r:id="rId58">
        <w:r>
          <w:rPr>
            <w:rStyle w:val="Hyperlink"/>
            <w:rFonts w:ascii="Times New Roman" w:hAnsi="Times New Roman"/>
            <w:b w:val="false"/>
            <w:i w:val="false"/>
            <w:color w:val="000000"/>
            <w:sz w:val="22"/>
          </w:rPr>
          <w:t>22.19(3)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Subject to the appropriation of funds, the department will disburse funds to a postsecondary institution offering an approved program in the following manner. All funds received under this rule shall be used to support and sustain the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Base funding. </w:t>
      </w:r>
      <w:r>
        <w:rPr>
          <w:rFonts w:ascii="Times New Roman" w:hAnsi="Times New Roman"/>
          <w:b w:val="false"/>
          <w:i w:val="false"/>
          <w:color w:val="000000"/>
          <w:sz w:val="22"/>
        </w:rPr>
        <w:t xml:space="preserve">The amount of funds reserved for base funding as specified in paragraph </w:t>
      </w:r>
      <w:hyperlink r:id="rId59">
        <w:r>
          <w:rPr>
            <w:rStyle w:val="Hyperlink"/>
            <w:rFonts w:ascii="Times New Roman" w:hAnsi="Times New Roman"/>
            <w:b w:val="false"/>
            <w:i w:val="false"/>
            <w:color w:val="000000"/>
            <w:sz w:val="22"/>
          </w:rPr>
          <w:t>22.19(4)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distributed equally between approved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Any funds not distributed under paragraph </w:t>
      </w:r>
      <w:hyperlink r:id="rId60">
        <w:r>
          <w:rPr>
            <w:rStyle w:val="Hyperlink"/>
            <w:rFonts w:ascii="Times New Roman" w:hAnsi="Times New Roman"/>
            <w:b w:val="false"/>
            <w:i w:val="false"/>
            <w:color w:val="000000"/>
            <w:sz w:val="22"/>
          </w:rPr>
          <w:t>22.19(4)</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distributed to postsecondary institutions offering an approved program with student enrollment greater than the minimum enrollment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program shall gather a count of students enrolled in the program on the third day following the start date of the program, and submit this count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Enrollment funding shall be calculated by the department for each program with enrollment greater than the minimum enrollment threshold. For purposes of this rule, the portion of enrollment funding to be received by a postsecondary institution offering an approved program is equal to the total student enrollment in the approved program divided by the total student enrollments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years. </w:t>
      </w:r>
      <w:r>
        <w:rPr>
          <w:rFonts w:ascii="Times New Roman" w:hAnsi="Times New Roman"/>
          <w:b w:val="false"/>
          <w:i w:val="false"/>
          <w:color w:val="000000"/>
          <w:sz w:val="22"/>
        </w:rPr>
        <w:t>In each of the subsequent three years following the implementation year, the portion of the allocation distributed based on enrollment will increase by 10 percent each year until the minimum amount awarded based on enrollment is equal to 80 percent of the total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22.19(5)</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A postsecondary institution offering an approved program shall enter into a contract with a school district interested in making the program available to eligible students of the school district. The program will be made available to any eligible student from a participating school district. An institution offering programming to a student under this rule will comply with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 xml:space="preserve">To participate in an approved program, a student will comply with the criteria established under rules </w:t>
      </w:r>
      <w:hyperlink r:id="rId61">
        <w:r>
          <w:rPr>
            <w:rStyle w:val="Hyperlink"/>
            <w:rFonts w:ascii="Times New Roman" w:hAnsi="Times New Roman"/>
            <w:b w:val="false"/>
            <w:i w:val="false"/>
            <w:color w:val="000000"/>
            <w:sz w:val="22"/>
          </w:rPr>
          <w:t>281—22.2</w:t>
        </w:r>
      </w:hyperlink>
      <w:r>
        <w:rPr>
          <w:rFonts w:ascii="Times New Roman" w:hAnsi="Times New Roman"/>
          <w:b w:val="false"/>
          <w:i w:val="false"/>
          <w:color w:val="000000"/>
          <w:sz w:val="22"/>
        </w:rPr>
        <w:t xml:space="preserve">(261E) and </w:t>
      </w:r>
      <w:hyperlink r:id="rId62">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Teacher eligibility. </w:t>
      </w:r>
      <w:r>
        <w:rPr>
          <w:rFonts w:ascii="Times New Roman" w:hAnsi="Times New Roman"/>
          <w:b w:val="false"/>
          <w:i w:val="false"/>
          <w:color w:val="000000"/>
          <w:sz w:val="22"/>
        </w:rPr>
        <w:t xml:space="preserve">A teacher assigned to provide instruction under this rule will comply with the criteria established under rule </w:t>
      </w:r>
      <w:hyperlink r:id="rId63">
        <w:r>
          <w:rPr>
            <w:rStyle w:val="Hyperlink"/>
            <w:rFonts w:ascii="Times New Roman" w:hAnsi="Times New Roman"/>
            <w:b w:val="false"/>
            <w:i w:val="false"/>
            <w:color w:val="000000"/>
            <w:sz w:val="22"/>
          </w:rPr>
          <w:t>281—22.3</w:t>
        </w:r>
      </w:hyperlink>
      <w:r>
        <w:rPr>
          <w:rFonts w:ascii="Times New Roman" w:hAnsi="Times New Roman"/>
          <w:b w:val="false"/>
          <w:i w:val="false"/>
          <w:color w:val="000000"/>
          <w:sz w:val="22"/>
        </w:rPr>
        <w:t>(261E) and be a community college-employed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Institutional eligibility. </w:t>
      </w:r>
      <w:r>
        <w:rPr>
          <w:rFonts w:ascii="Times New Roman" w:hAnsi="Times New Roman"/>
          <w:b w:val="false"/>
          <w:i w:val="false"/>
          <w:color w:val="000000"/>
          <w:sz w:val="22"/>
        </w:rPr>
        <w:t xml:space="preserve">Institutions offering an approved program under this rule will comply with the criteria established under rule </w:t>
      </w:r>
      <w:hyperlink r:id="rId64">
        <w:r>
          <w:rPr>
            <w:rStyle w:val="Hyperlink"/>
            <w:rFonts w:ascii="Times New Roman" w:hAnsi="Times New Roman"/>
            <w:b w:val="false"/>
            <w:i w:val="false"/>
            <w:color w:val="000000"/>
            <w:sz w:val="22"/>
          </w:rPr>
          <w:t>281—22.4</w:t>
        </w:r>
      </w:hyperlink>
      <w:r>
        <w:rPr>
          <w:rFonts w:ascii="Times New Roman" w:hAnsi="Times New Roman"/>
          <w:b w:val="false"/>
          <w:i w:val="false"/>
          <w:color w:val="000000"/>
          <w:sz w:val="22"/>
        </w:rPr>
        <w:t>(261E).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5">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10/18/88, Notice 9/7/88—published 11/16/88, effective 12/21/88]</w:t>
      </w:r>
    </w:p>
    <w:p>
      <w:pPr>
        <w:spacing w:before="0" w:after="0"/>
        <w:ind w:left="120"/>
        <w:jc w:val="center"/>
      </w:pPr>
      <w:r>
        <w:rPr>
          <w:rFonts w:ascii="Times New Roman" w:hAnsi="Times New Roman"/>
          <w:b w:val="false"/>
          <w:i w:val="false"/>
          <w:color w:val="000000"/>
          <w:sz w:val="21"/>
        </w:rPr>
        <w:t>[Filed 10/12/90, Notice 9/5/90—published 10/31/90, effective 12/5/90]</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12/14/92, Notice 9/16/92—published 1/6/93, effective 2/10/93]</w:t>
      </w:r>
    </w:p>
    <w:p>
      <w:pPr>
        <w:spacing w:before="0" w:after="0"/>
        <w:ind w:left="120"/>
        <w:jc w:val="center"/>
      </w:pPr>
      <w:r>
        <w:rPr>
          <w:rFonts w:ascii="Times New Roman" w:hAnsi="Times New Roman"/>
          <w:b w:val="false"/>
          <w:i w:val="false"/>
          <w:color w:val="000000"/>
          <w:sz w:val="21"/>
        </w:rPr>
        <w:t>[Filed 1/14/94, Notice 10/27/93—published 2/2/94, effective 3/9/94]</w:t>
      </w:r>
    </w:p>
    <w:p>
      <w:pPr>
        <w:spacing w:before="0" w:after="0"/>
        <w:ind w:left="120"/>
        <w:jc w:val="center"/>
      </w:pPr>
      <w:r>
        <w:rPr>
          <w:rFonts w:ascii="Times New Roman" w:hAnsi="Times New Roman"/>
          <w:b w:val="false"/>
          <w:i w:val="false"/>
          <w:color w:val="000000"/>
          <w:sz w:val="21"/>
        </w:rPr>
        <w:t>[Filed ARC 8187B</w:t>
      </w:r>
      <w:r>
        <w:rPr>
          <w:rFonts w:ascii="Times New Roman" w:hAnsi="Times New Roman"/>
          <w:b w:val="false"/>
          <w:i w:val="false"/>
          <w:color w:val="000000"/>
          <w:sz w:val="21"/>
        </w:rPr>
        <w:t xml:space="preserve"> (Notice ARC 7612B, IAB 3/11/09)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9902B</w:t>
      </w:r>
      <w:r>
        <w:rPr>
          <w:rFonts w:ascii="Times New Roman" w:hAnsi="Times New Roman"/>
          <w:b w:val="false"/>
          <w:i w:val="false"/>
          <w:color w:val="000000"/>
          <w:sz w:val="21"/>
        </w:rPr>
        <w:t xml:space="preserve"> (Notice ARC 9791B,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0526C</w:t>
      </w:r>
      <w:r>
        <w:rPr>
          <w:rFonts w:ascii="Times New Roman" w:hAnsi="Times New Roman"/>
          <w:b w:val="false"/>
          <w:i w:val="false"/>
          <w:color w:val="000000"/>
          <w:sz w:val="21"/>
        </w:rPr>
        <w:t xml:space="preserve"> (Notice ARC 0298C, IAB 8/22/12)</w:t>
      </w:r>
      <w:r>
        <w:rPr>
          <w:rFonts w:ascii="Times New Roman" w:hAnsi="Times New Roman"/>
          <w:b w:val="false"/>
          <w:i w:val="false"/>
          <w:color w:val="000000"/>
          <w:sz w:val="21"/>
        </w:rPr>
        <w:t>, IAB 12/12/12, effective 1/16/13]</w:t>
      </w:r>
      <w:r>
        <w:br/>
      </w:r>
      <w:r>
        <w:rPr>
          <w:rFonts w:ascii="Times New Roman" w:hAnsi="Times New Roman"/>
          <w:b w:val="false"/>
          <w:i w:val="false"/>
          <w:color w:val="000000"/>
          <w:sz w:val="21"/>
        </w:rPr>
        <w:t>[Filed ARC 0519C</w:t>
      </w:r>
      <w:r>
        <w:rPr>
          <w:rFonts w:ascii="Times New Roman" w:hAnsi="Times New Roman"/>
          <w:b w:val="false"/>
          <w:i w:val="false"/>
          <w:color w:val="000000"/>
          <w:sz w:val="21"/>
        </w:rPr>
        <w:t xml:space="preserve"> (Notice ARC 0386C,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After Notice ARC 4293C</w:t>
      </w:r>
      <w:r>
        <w:rPr>
          <w:rFonts w:ascii="Times New Roman" w:hAnsi="Times New Roman"/>
          <w:b w:val="false"/>
          <w:i w:val="false"/>
          <w:color w:val="000000"/>
          <w:sz w:val="21"/>
        </w:rPr>
        <w:t xml:space="preserve"> (Notice ARC 4155C, IAB 12/5/18)</w:t>
      </w:r>
      <w:r>
        <w:rPr>
          <w:rFonts w:ascii="Times New Roman" w:hAnsi="Times New Roman"/>
          <w:b w:val="false"/>
          <w:i w:val="false"/>
          <w:color w:val="000000"/>
          <w:sz w:val="21"/>
        </w:rPr>
        <w:t>, IAB 2/13/19, effective 1/17/19]</w:t>
      </w:r>
    </w:p>
    <w:p>
      <w:pPr>
        <w:spacing w:before="0" w:after="0"/>
        <w:ind w:left="120"/>
        <w:jc w:val="center"/>
      </w:pPr>
      <w:r>
        <w:rPr>
          <w:rFonts w:ascii="Times New Roman" w:hAnsi="Times New Roman"/>
          <w:b w:val="false"/>
          <w:i w:val="false"/>
          <w:color w:val="000000"/>
          <w:sz w:val="21"/>
        </w:rPr>
        <w:t>[Filed ARC 4809C</w:t>
      </w:r>
      <w:r>
        <w:rPr>
          <w:rFonts w:ascii="Times New Roman" w:hAnsi="Times New Roman"/>
          <w:b w:val="false"/>
          <w:i w:val="false"/>
          <w:color w:val="000000"/>
          <w:sz w:val="21"/>
        </w:rPr>
        <w:t xml:space="preserve"> (Notice ARC 4683C,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5326C</w:t>
      </w:r>
      <w:r>
        <w:rPr>
          <w:rFonts w:ascii="Times New Roman" w:hAnsi="Times New Roman"/>
          <w:b w:val="false"/>
          <w:i w:val="false"/>
          <w:color w:val="000000"/>
          <w:sz w:val="21"/>
        </w:rPr>
        <w:t xml:space="preserve"> (Notice ARC 5208C,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5871C</w:t>
      </w:r>
      <w:r>
        <w:rPr>
          <w:rFonts w:ascii="Times New Roman" w:hAnsi="Times New Roman"/>
          <w:b w:val="false"/>
          <w:i w:val="false"/>
          <w:color w:val="000000"/>
          <w:sz w:val="21"/>
        </w:rPr>
        <w:t xml:space="preserve"> (Notice ARC 5661C,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8048C</w:t>
      </w:r>
      <w:r>
        <w:rPr>
          <w:rFonts w:ascii="Times New Roman" w:hAnsi="Times New Roman"/>
          <w:b w:val="false"/>
          <w:i w:val="false"/>
          <w:color w:val="000000"/>
          <w:sz w:val="21"/>
        </w:rPr>
        <w:t xml:space="preserve"> (Notice ARC 7586C, IAB 2/7/24)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10/2/24]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E.2.pdf" Type="http://schemas.openxmlformats.org/officeDocument/2006/relationships/hyperlink" Id="rId5"/>
    <Relationship TargetMode="External" Target="https://www.legis.iowa.gov/docs/ico/chapter/299A.pdf" Type="http://schemas.openxmlformats.org/officeDocument/2006/relationships/hyperlink" Id="rId6"/>
    <Relationship TargetMode="External" Target="https://www.legis.iowa.gov/docs/ico/chapter/299A.8.pdf" Type="http://schemas.openxmlformats.org/officeDocument/2006/relationships/hyperlink" Id="rId7"/>
    <Relationship TargetMode="External" Target="https://www.legis.iowa.gov/docs/iac/chapter/281.31.pdf" Type="http://schemas.openxmlformats.org/officeDocument/2006/relationships/hyperlink" Id="rId8"/>
    <Relationship TargetMode="External" Target="https://www.legis.iowa.gov/docs/ico/chapter/261E.2.pdf" Type="http://schemas.openxmlformats.org/officeDocument/2006/relationships/hyperlink" Id="rId9"/>
    <Relationship TargetMode="External" Target="https://www.legis.iowa.gov/docs/ico/chapter/261E.2.pdf" Type="http://schemas.openxmlformats.org/officeDocument/2006/relationships/hyperlink" Id="rId10"/>
    <Relationship TargetMode="External" Target="https://www.legis.iowa.gov/docs/ico/chapter/261E.2.pdf" Type="http://schemas.openxmlformats.org/officeDocument/2006/relationships/hyperlink" Id="rId11"/>
    <Relationship TargetMode="External" Target="https://www.legis.iowa.gov/docs/ico/chapter/261E.3.pdf" Type="http://schemas.openxmlformats.org/officeDocument/2006/relationships/hyperlink" Id="rId12"/>
    <Relationship TargetMode="External" Target="https://www.legis.iowa.gov/docs/ico/chapter/261E.3.pdf" Type="http://schemas.openxmlformats.org/officeDocument/2006/relationships/hyperlink" Id="rId13"/>
    <Relationship TargetMode="External" Target="https://www.legis.iowa.gov/docs/ico/chapter/261E.3.pdf" Type="http://schemas.openxmlformats.org/officeDocument/2006/relationships/hyperlink" Id="rId14"/>
    <Relationship TargetMode="External" Target="https://www.legis.iowa.gov/docs/ico/chapter/261E.3.pdf" Type="http://schemas.openxmlformats.org/officeDocument/2006/relationships/hyperlink" Id="rId15"/>
    <Relationship TargetMode="External" Target="https://www.legis.iowa.gov/docs/ico/chapter/261E.3.pdf" Type="http://schemas.openxmlformats.org/officeDocument/2006/relationships/hyperlink" Id="rId16"/>
    <Relationship TargetMode="External" Target="https://www.legis.iowa.gov/docs/iac/rule/281.257.11.pdf" Type="http://schemas.openxmlformats.org/officeDocument/2006/relationships/hyperlink" Id="rId17"/>
    <Relationship TargetMode="External" Target="https://www.legis.iowa.gov/docs/ico/chapter/261E.8.pdf" Type="http://schemas.openxmlformats.org/officeDocument/2006/relationships/hyperlink" Id="rId18"/>
    <Relationship TargetMode="External" Target="https://www.legis.iowa.gov/docs/ico/chapter/279.50A.pdf" Type="http://schemas.openxmlformats.org/officeDocument/2006/relationships/hyperlink" Id="rId19"/>
    <Relationship TargetMode="External" Target="https://www.legis.iowa.gov/docs/ico/chapter/261E.4.pdf" Type="http://schemas.openxmlformats.org/officeDocument/2006/relationships/hyperlink" Id="rId20"/>
    <Relationship TargetMode="External" Target="https://www.legis.iowa.gov/docs/ico/chapter/261E.5.pdf" Type="http://schemas.openxmlformats.org/officeDocument/2006/relationships/hyperlink" Id="rId21"/>
    <Relationship TargetMode="External" Target="https://www.legis.iowa.gov/docs/ico/chapter/261E.8.pdf" Type="http://schemas.openxmlformats.org/officeDocument/2006/relationships/hyperlink" Id="rId22"/>
    <Relationship TargetMode="External" Target="https://www.legis.iowa.gov/docs/ico/chapter/261E.3.pdf" Type="http://schemas.openxmlformats.org/officeDocument/2006/relationships/hyperlink" Id="rId23"/>
    <Relationship TargetMode="External" Target="https://www.legis.iowa.gov/docs/ico/chapter/261E.8.pdf" Type="http://schemas.openxmlformats.org/officeDocument/2006/relationships/hyperlink" Id="rId24"/>
    <Relationship TargetMode="External" Target="https://www.legis.iowa.gov/docs/ico/chapter/299A.pdf" Type="http://schemas.openxmlformats.org/officeDocument/2006/relationships/hyperlink" Id="rId25"/>
    <Relationship TargetMode="External" Target="https://www.legis.iowa.gov/docs/iac/chapter/281.31.pdf" Type="http://schemas.openxmlformats.org/officeDocument/2006/relationships/hyperlink" Id="rId26"/>
    <Relationship TargetMode="External" Target="https://www.legis.iowa.gov/docs/iac/rule/281.22.7.pdf" Type="http://schemas.openxmlformats.org/officeDocument/2006/relationships/hyperlink" Id="rId27"/>
    <Relationship TargetMode="External" Target="https://www.legis.iowa.gov/docs/iac/rule/281.22.7.pdf" Type="http://schemas.openxmlformats.org/officeDocument/2006/relationships/hyperlink" Id="rId28"/>
    <Relationship TargetMode="External" Target="https://www.legis.iowa.gov/docs/iac/rule/281.97.7.pdf" Type="http://schemas.openxmlformats.org/officeDocument/2006/relationships/hyperlink" Id="rId29"/>
    <Relationship TargetMode="External" Target="https://www.legis.iowa.gov/docs/ico/chapter/261E.6.pdf" Type="http://schemas.openxmlformats.org/officeDocument/2006/relationships/hyperlink" Id="rId30"/>
    <Relationship TargetMode="External" Target="https://www.legis.iowa.gov/docs/ico/chapter/261E.6.pdf" Type="http://schemas.openxmlformats.org/officeDocument/2006/relationships/hyperlink" Id="rId31"/>
    <Relationship TargetMode="External" Target="https://www.legis.iowa.gov/docs/ico/chapter/260C.pdf" Type="http://schemas.openxmlformats.org/officeDocument/2006/relationships/hyperlink" Id="rId32"/>
    <Relationship TargetMode="External" Target="https://www.legis.iowa.gov/docs/ico/chapter/261E.8.pdf" Type="http://schemas.openxmlformats.org/officeDocument/2006/relationships/hyperlink" Id="rId33"/>
    <Relationship TargetMode="External" Target="https://www.legis.iowa.gov/docs/ico/chapter/257.11.pdf" Type="http://schemas.openxmlformats.org/officeDocument/2006/relationships/hyperlink" Id="rId34"/>
    <Relationship TargetMode="External" Target="https://www.legis.iowa.gov/docs/ico/chapter/257.11.pdf" Type="http://schemas.openxmlformats.org/officeDocument/2006/relationships/hyperlink" Id="rId35"/>
    <Relationship TargetMode="External" Target="https://www.legis.iowa.gov/docs/ico/chapter/261E.6.pdf" Type="http://schemas.openxmlformats.org/officeDocument/2006/relationships/hyperlink" Id="rId36"/>
    <Relationship TargetMode="External" Target="https://www.legis.iowa.gov/docs/ico/chapter/261E.6.pdf" Type="http://schemas.openxmlformats.org/officeDocument/2006/relationships/hyperlink" Id="rId37"/>
    <Relationship TargetMode="External" Target="https://www.legis.iowa.gov/docs/ico/chapter/261E.7.pdf" Type="http://schemas.openxmlformats.org/officeDocument/2006/relationships/hyperlink" Id="rId38"/>
    <Relationship TargetMode="External" Target="https://www.legis.iowa.gov/docs/ico/chapter/258.6.pdf" Type="http://schemas.openxmlformats.org/officeDocument/2006/relationships/hyperlink" Id="rId39"/>
    <Relationship TargetMode="External" Target="https://www.legis.iowa.gov/docs/ico/chapter/261E.10.pdf" Type="http://schemas.openxmlformats.org/officeDocument/2006/relationships/hyperlink" Id="rId40"/>
    <Relationship TargetMode="External" Target="https://www.legis.iowa.gov/docs/ico/chapter/261E.9.pdf" Type="http://schemas.openxmlformats.org/officeDocument/2006/relationships/hyperlink" Id="rId41"/>
    <Relationship TargetMode="External" Target="https://www.legis.iowa.gov/docs/ico/chapter/261E.11.pdf" Type="http://schemas.openxmlformats.org/officeDocument/2006/relationships/hyperlink" Id="rId42"/>
    <Relationship TargetMode="External" Target="https://www.legis.iowa.gov/docs/ico/chapter/279.61.pdf" Type="http://schemas.openxmlformats.org/officeDocument/2006/relationships/hyperlink" Id="rId43"/>
    <Relationship TargetMode="External" Target="https://www.legis.iowa.gov/docs/ico/chapter/299A.pdf" Type="http://schemas.openxmlformats.org/officeDocument/2006/relationships/hyperlink" Id="rId44"/>
    <Relationship TargetMode="External" Target="https://www.legis.iowa.gov/docs/iac/chapter/281.12.pdf" Type="http://schemas.openxmlformats.org/officeDocument/2006/relationships/hyperlink" Id="rId45"/>
    <Relationship TargetMode="External" Target="https://www.legis.iowa.gov/docs/iac/chapter/281.12.pdf" Type="http://schemas.openxmlformats.org/officeDocument/2006/relationships/hyperlink" Id="rId46"/>
    <Relationship TargetMode="External" Target="https://www.legis.iowa.gov/docs/iac/chapter/281.46.pdf" Type="http://schemas.openxmlformats.org/officeDocument/2006/relationships/hyperlink" Id="rId47"/>
    <Relationship TargetMode="External" Target="https://www.legis.iowa.gov/docs/ico/chapter/260C.pdf" Type="http://schemas.openxmlformats.org/officeDocument/2006/relationships/hyperlink" Id="rId48"/>
    <Relationship TargetMode="External" Target="https://www.legis.iowa.gov/docs/ico/chapter/261E.3.pdf" Type="http://schemas.openxmlformats.org/officeDocument/2006/relationships/hyperlink" Id="rId49"/>
    <Relationship TargetMode="External" Target="https://www.legis.iowa.gov/docs/iac/rule/281.97.2.pdf" Type="http://schemas.openxmlformats.org/officeDocument/2006/relationships/hyperlink" Id="rId50"/>
    <Relationship TargetMode="External" Target="https://www.legis.iowa.gov/docs/ico/chapter/261E.8.pdf" Type="http://schemas.openxmlformats.org/officeDocument/2006/relationships/hyperlink" Id="rId51"/>
    <Relationship TargetMode="External" Target="https://www.legis.iowa.gov/docs/iac/rule/281.22.19.pdf" Type="http://schemas.openxmlformats.org/officeDocument/2006/relationships/hyperlink" Id="rId52"/>
    <Relationship TargetMode="External" Target="https://www.legis.iowa.gov/docs/iac/rule/281.21.4.pdf" Type="http://schemas.openxmlformats.org/officeDocument/2006/relationships/hyperlink" Id="rId53"/>
    <Relationship TargetMode="External" Target="https://www.legis.iowa.gov/docs/ico/chapter/84A.1B.pdf" Type="http://schemas.openxmlformats.org/officeDocument/2006/relationships/hyperlink" Id="rId54"/>
    <Relationship TargetMode="External" Target="https://www.legis.iowa.gov/docs/ico/chapter/257.11.pdf" Type="http://schemas.openxmlformats.org/officeDocument/2006/relationships/hyperlink" Id="rId55"/>
    <Relationship TargetMode="External" Target="https://www.legis.iowa.gov/docs/iac/rule/281.22.19.pdf" Type="http://schemas.openxmlformats.org/officeDocument/2006/relationships/hyperlink" Id="rId56"/>
    <Relationship TargetMode="External" Target="https://www.legis.iowa.gov/docs/iac/rule/281.22.19.pdf" Type="http://schemas.openxmlformats.org/officeDocument/2006/relationships/hyperlink" Id="rId57"/>
    <Relationship TargetMode="External" Target="https://www.legis.iowa.gov/docs/iac/rule/281.22.19.pdf" Type="http://schemas.openxmlformats.org/officeDocument/2006/relationships/hyperlink" Id="rId58"/>
    <Relationship TargetMode="External" Target="https://www.legis.iowa.gov/docs/iac/rule/281.22.19.pdf" Type="http://schemas.openxmlformats.org/officeDocument/2006/relationships/hyperlink" Id="rId59"/>
    <Relationship TargetMode="External" Target="https://www.legis.iowa.gov/docs/iac/rule/281.22.19.pdf" Type="http://schemas.openxmlformats.org/officeDocument/2006/relationships/hyperlink" Id="rId60"/>
    <Relationship TargetMode="External" Target="https://www.legis.iowa.gov/docs/iac/rule/281.22.2.pdf" Type="http://schemas.openxmlformats.org/officeDocument/2006/relationships/hyperlink" Id="rId61"/>
    <Relationship TargetMode="External" Target="https://www.legis.iowa.gov/docs/iac/rule/281.22.7.pdf" Type="http://schemas.openxmlformats.org/officeDocument/2006/relationships/hyperlink" Id="rId62"/>
    <Relationship TargetMode="External" Target="https://www.legis.iowa.gov/docs/iac/rule/281.22.3.pdf" Type="http://schemas.openxmlformats.org/officeDocument/2006/relationships/hyperlink" Id="rId63"/>
    <Relationship TargetMode="External" Target="https://www.legis.iowa.gov/docs/iac/rule/281.22.4.pdf" Type="http://schemas.openxmlformats.org/officeDocument/2006/relationships/hyperlink" Id="rId64"/>
    <Relationship TargetMode="External" Target="https://www.legis.iowa.gov/docs/ico/chapter/261E.pdf" Type="http://schemas.openxmlformats.org/officeDocument/2006/relationships/hyperlink"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