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STUDENTS FIRST ACT—EDUCATION SAVINGS ACCOUNTS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9/27/28</w:t>
      </w:r>
    </w:p>
    <w:p>
      <w:pPr>
        <w:spacing w:before="0" w:after="0"/>
        <w:ind w:left="120"/>
        <w:jc w:val="both"/>
      </w:pPr>
      <w:r>
        <w:rPr>
          <w:rFonts w:ascii="Times New Roman" w:hAnsi="Times New Roman"/>
          <w:b/>
          <w:i w:val="false"/>
          <w:color w:val="000000"/>
          <w:sz w:val="22"/>
        </w:rPr>
        <w:t>281—20.1</w:t>
      </w:r>
      <w:r>
        <w:rPr>
          <w:rFonts w:ascii="Times New Roman" w:hAnsi="Times New Roman"/>
          <w:b/>
          <w:i w:val="false"/>
          <w:color w:val="000000"/>
          <w:sz w:val="22"/>
        </w:rPr>
        <w:t xml:space="preserve">(257)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val="false"/>
          <w:color w:val="000000"/>
          <w:sz w:val="22"/>
        </w:rPr>
        <w:t>“Annual income” means the same as line 4 of Form 2023 IA 1040 (Iowa taxable income). In calculating annual income, the department shall use information from the last year’s state tax form and need not include income of individuals who have no legal obligation to provide support to the student unless said individual is married to the parent or guardian who is responsible for financially supporting the student. If “annual income” cannot be clearly determined through review of the submitted tax return, the department director has authority to request additional information and determine eligibility. The department director may consider income reductions after the filing of the preceding year’s tax return. This subrule applies only for school years beginning July 1, 2023, and July 1, 2024; it will cease to be applicable by operation of law on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val="false"/>
          <w:color w:val="000000"/>
          <w:sz w:val="22"/>
        </w:rPr>
        <w:t>“Department” 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val="false"/>
          <w:color w:val="000000"/>
          <w:sz w:val="22"/>
        </w:rPr>
        <w:t xml:space="preserve">“Full-time” means enrollment at a nonpublic school with a minimum school calendar that meets the requirement of Iowa Code section </w:t>
      </w:r>
      <w:hyperlink r:id="rId5">
        <w:r>
          <w:rPr>
            <w:rStyle w:val="Hyperlink"/>
            <w:rFonts w:ascii="Times New Roman" w:hAnsi="Times New Roman"/>
            <w:b w:val="false"/>
            <w:i w:val="false"/>
            <w:color w:val="000000"/>
            <w:sz w:val="22"/>
          </w:rPr>
          <w:t>279.10</w:t>
        </w:r>
      </w:hyperlink>
      <w:r>
        <w:rPr>
          <w:rFonts w:ascii="Times New Roman" w:hAnsi="Times New Roman"/>
          <w:b w:val="false"/>
          <w:i w:val="false"/>
          <w:color w:val="000000"/>
          <w:sz w:val="22"/>
        </w:rPr>
        <w:t xml:space="preserve"> for at least 75 percent of the school’s definition of “full-time.”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w:t>
      </w:r>
      <w:r>
        <w:rPr>
          <w:rFonts w:ascii="Times New Roman" w:hAnsi="Times New Roman"/>
          <w:b w:val="false"/>
          <w:i w:val="false"/>
          <w:color w:val="000000"/>
          <w:sz w:val="22"/>
        </w:rPr>
        <w:t> </w:t>
      </w:r>
      <w:r>
        <w:rPr>
          <w:rFonts w:ascii="Times New Roman" w:hAnsi="Times New Roman"/>
          <w:b w:val="false"/>
          <w:i w:val="false"/>
          <w:color w:val="000000"/>
          <w:sz w:val="22"/>
        </w:rPr>
        <w:t>“Household” means the number of people who reside together and who are related by birth, marriage, adoption, legal guardianship, or placement in the home through a state agency. “Household” includes parents, student applicants, and other children who share at least one parent by birth, by adoption, by a parent’s current marriage, or by placement in the home through a state agency. A parent on military duty is considered to be residing in the household. If “household” cannot be clearly determined through review of the submitted tax return, the department director has authority to request additional information and determine eligibility. This subrule applies only for school years beginning July 1, 2023, and July 1, 2024; it will cease to be applicable by operation of law on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w:t>
      </w:r>
      <w:r>
        <w:rPr>
          <w:rFonts w:ascii="Times New Roman" w:hAnsi="Times New Roman"/>
          <w:b w:val="false"/>
          <w:i w:val="false"/>
          <w:color w:val="000000"/>
          <w:sz w:val="22"/>
        </w:rPr>
        <w:t> </w:t>
      </w:r>
      <w:r>
        <w:rPr>
          <w:rFonts w:ascii="Times New Roman" w:hAnsi="Times New Roman"/>
          <w:b w:val="false"/>
          <w:i w:val="false"/>
          <w:color w:val="000000"/>
          <w:sz w:val="22"/>
        </w:rPr>
        <w:t xml:space="preserve">“Nonpublic school” means the same as defined in Iowa Code section </w:t>
      </w:r>
      <w:hyperlink r:id="rId6">
        <w:r>
          <w:rPr>
            <w:rStyle w:val="Hyperlink"/>
            <w:rFonts w:ascii="Times New Roman" w:hAnsi="Times New Roman"/>
            <w:b w:val="false"/>
            <w:i w:val="false"/>
            <w:color w:val="000000"/>
            <w:sz w:val="22"/>
          </w:rPr>
          <w:t>285.16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w:t>
      </w:r>
      <w:r>
        <w:rPr>
          <w:rFonts w:ascii="Times New Roman" w:hAnsi="Times New Roman"/>
          <w:b w:val="false"/>
          <w:i w:val="false"/>
          <w:color w:val="000000"/>
          <w:sz w:val="22"/>
        </w:rPr>
        <w:t> </w:t>
      </w:r>
      <w:r>
        <w:rPr>
          <w:rFonts w:ascii="Times New Roman" w:hAnsi="Times New Roman"/>
          <w:b w:val="false"/>
          <w:i w:val="false"/>
          <w:color w:val="000000"/>
          <w:sz w:val="22"/>
        </w:rPr>
        <w:t>“Qualified educational expenses” means the same as defined in Iowa Code section 257.11B(1)</w:t>
      </w:r>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2023 Iowa Acts, House File 68, section 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an approvable provider of “educational therapies” is qualified by recognized training and education to provide those educational therapies. To prevent waste, fraud, and abuse, “educational therapies” does not include therapies provided by the student’s family. For purposes of this subrule, “family” includes parents, step-parents, guardians, siblings, half siblings, step-siblings, grandparents, step-grandparents, aunts, uncles, or first cousins.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approvable “online education programs” means online education programs provided by online education providers approved by the department under </w:t>
      </w:r>
      <w:hyperlink r:id="rId7">
        <w:r>
          <w:rPr>
            <w:rStyle w:val="Hyperlink"/>
            <w:rFonts w:ascii="Times New Roman" w:hAnsi="Times New Roman"/>
            <w:b w:val="false"/>
            <w:i w:val="false"/>
            <w:color w:val="000000"/>
            <w:sz w:val="22"/>
          </w:rPr>
          <w:t>281—Chapter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an approvable provider of “vocational and life skills education” is any entity approved by the department or any other unit of state government to provide the vocational and life skills education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an approvable “accredited provider” is any individual or organization holding a credential issued by the Iowa board of educational examiners or any other credential issued by the state of Iowa to provide the service at issue. For purposes of this paragraph, paraprofessionals or assistants are sufficiently trained if they hold a credential issued under Iowa Code section</w:t>
      </w:r>
      <w:hyperlink r:id="rId8">
        <w:r>
          <w:rPr>
            <w:rStyle w:val="Hyperlink"/>
            <w:rFonts w:ascii="Times New Roman" w:hAnsi="Times New Roman"/>
            <w:b w:val="false"/>
            <w:i w:val="false"/>
            <w:color w:val="000000"/>
            <w:sz w:val="22"/>
          </w:rPr>
          <w:t> 272.12</w:t>
        </w:r>
      </w:hyperlink>
      <w:r>
        <w:rPr>
          <w:rFonts w:ascii="Times New Roman" w:hAnsi="Times New Roman"/>
          <w:b w:val="false"/>
          <w:i w:val="false"/>
          <w:color w:val="000000"/>
          <w:sz w:val="22"/>
        </w:rPr>
        <w:t xml:space="preserve"> or if they have received training and education deemed sufficient by their supervising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expenses listed in Iowa Code section 257.11B(1)</w:t>
      </w:r>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as “not included” in the definition of “qualified educational expenses,” are not eligible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w:t>
      </w:r>
      <w:r>
        <w:rPr>
          <w:rFonts w:ascii="Times New Roman" w:hAnsi="Times New Roman"/>
          <w:b w:val="false"/>
          <w:i w:val="false"/>
          <w:color w:val="000000"/>
          <w:sz w:val="22"/>
        </w:rPr>
        <w:t> </w:t>
      </w:r>
      <w:r>
        <w:rPr>
          <w:rFonts w:ascii="Times New Roman" w:hAnsi="Times New Roman"/>
          <w:b w:val="false"/>
          <w:i w:val="false"/>
          <w:color w:val="000000"/>
          <w:sz w:val="22"/>
        </w:rPr>
        <w:t>“Resident” means the same as defined in Iowa Code section</w:t>
      </w:r>
      <w:hyperlink r:id="rId9">
        <w:r>
          <w:rPr>
            <w:rStyle w:val="Hyperlink"/>
            <w:rFonts w:ascii="Times New Roman" w:hAnsi="Times New Roman"/>
            <w:b w:val="false"/>
            <w:i w:val="false"/>
            <w:color w:val="000000"/>
            <w:sz w:val="22"/>
          </w:rPr>
          <w:t> 282.1(2)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is synonymous with the term “pupil” as that term is used in Iowa Code section 257.11B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7061C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 xml:space="preserve">; </w:t>
      </w:r>
      <w:r>
        <w:rPr>
          <w:rFonts w:ascii="Times New Roman" w:hAnsi="Times New Roman"/>
          <w:b/>
          <w:i w:val="false"/>
          <w:color w:val="000000"/>
          <w:sz w:val="16"/>
        </w:rPr>
        <w:t>ARC 7652C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281—20.2</w:t>
      </w:r>
      <w:r>
        <w:rPr>
          <w:rFonts w:ascii="Times New Roman" w:hAnsi="Times New Roman"/>
          <w:b/>
          <w:i w:val="false"/>
          <w:color w:val="000000"/>
          <w:sz w:val="22"/>
        </w:rPr>
        <w:t xml:space="preserve">(257) </w:t>
      </w:r>
      <w:r>
        <w:rPr>
          <w:rFonts w:ascii="Times New Roman" w:hAnsi="Times New Roman"/>
          <w:b/>
          <w:i w:val="false"/>
          <w:color w:val="000000"/>
          <w:sz w:val="22"/>
        </w:rPr>
        <w:t xml:space="preserve">Eligible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students are eligible as described in Iowa Code section 257.11B(2)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xml:space="preserve">, section 7, with annual income determined pursuant to subrule </w:t>
      </w:r>
      <w:hyperlink r:id="rId10">
        <w:r>
          <w:rPr>
            <w:rStyle w:val="Hyperlink"/>
            <w:rFonts w:ascii="Times New Roman" w:hAnsi="Times New Roman"/>
            <w:b w:val="false"/>
            <w:i w:val="false"/>
            <w:color w:val="000000"/>
            <w:sz w:val="22"/>
          </w:rPr>
          <w:t>20.1(1)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students are deemed to attend a nonpublic school for that school budget year under Iowa Code section 257.11B(2)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if the student attends a nonpublic school on a full-time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students are deemed enrolled in a nonpublic school for the school year immediately preceding the school year for which the education savings account (ESA) payment is requested under Iowa Code section 257.11B(2)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if they enrolled in and attended a nonpublic school at any point in the immediately preceding school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7061C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281—20.3</w:t>
      </w:r>
      <w:r>
        <w:rPr>
          <w:rFonts w:ascii="Times New Roman" w:hAnsi="Times New Roman"/>
          <w:b/>
          <w:i w:val="false"/>
          <w:color w:val="000000"/>
          <w:sz w:val="22"/>
        </w:rPr>
        <w:t xml:space="preserve">(257)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The parent or guardian of an eligible student may request an ESA payment during the time period specified by Iowa Code section 257.11B(3)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xml:space="preserve">, section 7, by applying to the department, in a manner prescribed by the department. Within the time frame provided by Iowa Code section 257.11B(5)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the department will provide a response to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7061C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281—20.4</w:t>
      </w:r>
      <w:r>
        <w:rPr>
          <w:rFonts w:ascii="Times New Roman" w:hAnsi="Times New Roman"/>
          <w:b/>
          <w:i w:val="false"/>
          <w:color w:val="000000"/>
          <w:sz w:val="22"/>
        </w:rPr>
        <w:t xml:space="preserve">(257) </w:t>
      </w:r>
      <w:r>
        <w:rPr>
          <w:rFonts w:ascii="Times New Roman" w:hAnsi="Times New Roman"/>
          <w:b/>
          <w:i w:val="false"/>
          <w:color w:val="000000"/>
          <w:sz w:val="22"/>
        </w:rPr>
        <w:t xml:space="preserve">Administration, accountability, monitoring,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The department will take reasonable efforts to verify eligibility of parents, students, nonpublic schools, and providers to participate in this chapter, including verifying information with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an equal distribution of funds under this chapter to a third-party entity, for distribution to eligible students’ accounts, after confirming enrollment at the start of the academic year and enrollment and attendance at the midpoint of the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The department’s actions under Iowa Code section 257.11B(5)</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section 7, may be any action consistent with the department’s authority under Iowa Code section</w:t>
      </w:r>
      <w:hyperlink r:id="rId11">
        <w:r>
          <w:rPr>
            <w:rStyle w:val="Hyperlink"/>
            <w:rFonts w:ascii="Times New Roman" w:hAnsi="Times New Roman"/>
            <w:b w:val="false"/>
            <w:i w:val="false"/>
            <w:color w:val="000000"/>
            <w:sz w:val="22"/>
          </w:rPr>
          <w:t> 256.1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val="false"/>
          <w:color w:val="000000"/>
          <w:sz w:val="22"/>
        </w:rPr>
        <w:t>The department must recover all improperly paid ESA funds. The department and its director have flexibility to engage in voluntary collection activities if overpayments were based on a good faith error. For purposes of this chapter, a “false claim” is a statement made in conjunction with this program that is knowingly false or in reckless disregard of the truth.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or guardian may appeal to the state board of education any administrative decision the department or third-party entity makes pursuant to this chapter, including determinations of eligibility, allowable expenses, and removal from the program. An appeal under this subrule must be signed and in writing. Electronic submissions and signatures are allowed. Any appeals under this subrule are timely if filed within 30 days of the date of the administrative decision and are governed by </w:t>
      </w:r>
      <w:hyperlink r:id="rId1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7061C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257.11B as enacted by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7061C</w:t>
      </w:r>
      <w:r>
        <w:rPr>
          <w:rFonts w:ascii="Times New Roman" w:hAnsi="Times New Roman"/>
          <w:b w:val="false"/>
          <w:i w:val="false"/>
          <w:color w:val="000000"/>
          <w:sz w:val="21"/>
        </w:rPr>
        <w:t xml:space="preserve"> (Notice ARC 7023C, IAB 5/31/23)</w:t>
      </w:r>
      <w:r>
        <w:rPr>
          <w:rFonts w:ascii="Times New Roman" w:hAnsi="Times New Roman"/>
          <w:b w:val="false"/>
          <w:i w:val="false"/>
          <w:color w:val="000000"/>
          <w:sz w:val="21"/>
        </w:rPr>
        <w:t>, IAB 8/23/23, effective 9/27/23]</w:t>
      </w:r>
    </w:p>
    <w:p>
      <w:pPr>
        <w:spacing w:before="0" w:after="0"/>
        <w:ind w:left="120"/>
        <w:jc w:val="center"/>
      </w:pPr>
      <w:r>
        <w:rPr>
          <w:rFonts w:ascii="Times New Roman" w:hAnsi="Times New Roman"/>
          <w:b w:val="false"/>
          <w:i w:val="false"/>
          <w:color w:val="000000"/>
          <w:sz w:val="21"/>
        </w:rPr>
        <w:t>[Filed ARC 7652C</w:t>
      </w:r>
      <w:r>
        <w:rPr>
          <w:rFonts w:ascii="Times New Roman" w:hAnsi="Times New Roman"/>
          <w:b w:val="false"/>
          <w:i w:val="false"/>
          <w:color w:val="000000"/>
          <w:sz w:val="21"/>
        </w:rPr>
        <w:t xml:space="preserve"> (Notice ARC 7315C, IAB 12/27/23)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9/2/26]</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9.10.pdf" Type="http://schemas.openxmlformats.org/officeDocument/2006/relationships/hyperlink" Id="rId5"/>
    <Relationship TargetMode="External" Target="https://www.legis.iowa.gov/docs/ico/chapter/285.16.pdf" Type="http://schemas.openxmlformats.org/officeDocument/2006/relationships/hyperlink" Id="rId6"/>
    <Relationship TargetMode="External" Target="https://www.legis.iowa.gov/docs/iac/chapter/281.15.pdf" Type="http://schemas.openxmlformats.org/officeDocument/2006/relationships/hyperlink" Id="rId7"/>
    <Relationship TargetMode="External" Target="https://www.legis.iowa.gov/docs/ico/chapter/272.12.pdf" Type="http://schemas.openxmlformats.org/officeDocument/2006/relationships/hyperlink" Id="rId8"/>
    <Relationship TargetMode="External" Target="https://www.legis.iowa.gov/docs/ico/chapter/282.1.pdf" Type="http://schemas.openxmlformats.org/officeDocument/2006/relationships/hyperlink" Id="rId9"/>
    <Relationship TargetMode="External" Target="https://www.legis.iowa.gov/docs/iac/rule/281.20.1.pdf" Type="http://schemas.openxmlformats.org/officeDocument/2006/relationships/hyperlink" Id="rId10"/>
    <Relationship TargetMode="External" Target="https://www.legis.iowa.gov/docs/ico/chapter/256.1.pdf" Type="http://schemas.openxmlformats.org/officeDocument/2006/relationships/hyperlink" Id="rId11"/>
    <Relationship TargetMode="External" Target="https://www.legis.iowa.gov/docs/iac/chapter/7.250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