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DEPARTMENT-OPERATED SPECIAL SCHOOL AND PROGRAM</w:t>
      </w:r>
    </w:p>
    <w:p>
      <w:pPr>
        <w:spacing w:before="0" w:after="0"/>
        <w:ind w:left="120"/>
        <w:jc w:val="center"/>
      </w:pPr>
      <w:r>
        <w:rPr>
          <w:rFonts w:ascii="Times New Roman" w:hAnsi="Times New Roman"/>
          <w:b w:val="false"/>
          <w:i w:val="false"/>
          <w:color w:val="000000"/>
          <w:sz w:val="14"/>
        </w:rPr>
        <w:t>[Prior to 9/3/25, see Regents Board[681] Chs 15,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281—11.1</w:t>
      </w:r>
      <w:r>
        <w:rPr>
          <w:rFonts w:ascii="Times New Roman" w:hAnsi="Times New Roman"/>
          <w:b/>
          <w:i w:val="false"/>
          <w:color w:val="000000"/>
          <w:sz w:val="22"/>
        </w:rPr>
        <w:t xml:space="preserve">(256)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Statement of mission. </w:t>
      </w:r>
      <w:r>
        <w:rPr>
          <w:rFonts w:ascii="Times New Roman" w:hAnsi="Times New Roman"/>
          <w:b w:val="false"/>
          <w:i w:val="false"/>
          <w:color w:val="000000"/>
          <w:sz w:val="22"/>
        </w:rPr>
        <w:t>The mission of Iowa Educational Services for the Blind &amp; Visually Impaired (IESBVI) has two primary components: to provide direct educational services to visually impaired children and youth of the state of Iowa and to serve a leadership and resource role in statewide efforts to meet the needs of the visually impaired. In fulfilling its stated mission, IESBVI will coordinate its efforts with all appropriate state agencies, area education agencies, and local education agencies. Such coordination will be accomplished in the spirit of cooperation reflected in the agreements with these agencies.</w:t>
      </w:r>
    </w:p>
    <w:p>
      <w:pPr>
        <w:spacing w:before="0" w:after="0"/>
        <w:ind w:left="120"/>
        <w:jc w:val="both"/>
      </w:pPr>
      <w:r>
        <w:rPr>
          <w:rFonts w:ascii="Times New Roman" w:hAnsi="Times New Roman"/>
          <w:b w:val="false"/>
          <w:i w:val="false"/>
          <w:color w:val="000000"/>
          <w:sz w:val="22"/>
        </w:rPr>
        <w:t>Consistent with the various sections of the Iowa Code, the educational mission of IESBVI is to provide an appropriate individual education program for visually impaired children and youth who require the comprehensive programs provided by the school.</w:t>
      </w:r>
    </w:p>
    <w:p>
      <w:pPr>
        <w:spacing w:before="0" w:after="0"/>
        <w:ind w:left="120"/>
        <w:jc w:val="both"/>
      </w:pPr>
      <w:r>
        <w:rPr>
          <w:rFonts w:ascii="Times New Roman" w:hAnsi="Times New Roman"/>
          <w:b w:val="false"/>
          <w:i w:val="false"/>
          <w:color w:val="000000"/>
          <w:sz w:val="22"/>
        </w:rPr>
        <w:t>The educational programs of IESBVI will be consistent with the philosophy, reflected in federal and state legislation, that handicapped and nonhandicapped children and youth be educated together to the greatest extent possible. Thus, IESBVI assumes responsibility for providing an education for the visually impaired, including those with additional handicaps, for whom the comprehensive educational programs of IESBVI are most appropriate.</w:t>
      </w:r>
    </w:p>
    <w:p>
      <w:pPr>
        <w:spacing w:before="0" w:after="0"/>
        <w:ind w:left="120"/>
        <w:jc w:val="both"/>
      </w:pPr>
      <w:r>
        <w:rPr>
          <w:rFonts w:ascii="Times New Roman" w:hAnsi="Times New Roman"/>
          <w:b w:val="false"/>
          <w:i w:val="false"/>
          <w:color w:val="000000"/>
          <w:sz w:val="22"/>
        </w:rPr>
        <w:t>The educational programs of IESBVI are based on the premise that IESBVI exists to serve its students by providing a learning environment which, to the greatest extent possible, maximizes each child’s potential to become a contributing member of society by enhancing development of communication, knowledge, self-realization, human relationships, economic independence, and a sense of civic and social responsibility. The child-centered programs include learning activities and experiences that appropriately and specifically meet the needs of each child.</w:t>
      </w:r>
    </w:p>
    <w:p>
      <w:pPr>
        <w:spacing w:before="0" w:after="0"/>
        <w:ind w:left="120"/>
        <w:jc w:val="both"/>
      </w:pPr>
      <w:r>
        <w:rPr>
          <w:rFonts w:ascii="Times New Roman" w:hAnsi="Times New Roman"/>
          <w:b w:val="false"/>
          <w:i w:val="false"/>
          <w:color w:val="000000"/>
          <w:sz w:val="22"/>
        </w:rPr>
        <w:t>The scope of the educational program includes provisions for the visually impaired from infancy through secondary education. Program formats include full-time residential, day school, summer and other short-term residential programs to meet specific needs, and on- and off-campus individual assessment and evaluation services. For residential students, activities and experiences on a 24-hour basis, not restricted to the traditional academic day, are an integral part of the program.</w:t>
      </w:r>
    </w:p>
    <w:p>
      <w:pPr>
        <w:spacing w:before="0" w:after="0"/>
        <w:ind w:left="120"/>
        <w:jc w:val="both"/>
      </w:pPr>
      <w:r>
        <w:rPr>
          <w:rFonts w:ascii="Times New Roman" w:hAnsi="Times New Roman"/>
          <w:b w:val="false"/>
          <w:i w:val="false"/>
          <w:color w:val="000000"/>
          <w:sz w:val="22"/>
        </w:rPr>
        <w:t>The IESBVI also serves as a state resource and dissemination center for education of the visually impaired. In this role, IESBVI has a central and vital mission in the statewide education of the visually impaired and provides a resource center for educators, related field professionals, parents, and all interested citizens. Such a role affords the opportunity for the community-at-large to draw upon the specialized program and services available at IESBVI.</w:t>
      </w:r>
    </w:p>
    <w:p>
      <w:pPr>
        <w:spacing w:before="0" w:after="0"/>
        <w:ind w:left="120"/>
        <w:jc w:val="both"/>
      </w:pPr>
      <w:r>
        <w:rPr>
          <w:rFonts w:ascii="Times New Roman" w:hAnsi="Times New Roman"/>
          <w:b w:val="false"/>
          <w:i w:val="false"/>
          <w:color w:val="000000"/>
          <w:sz w:val="22"/>
        </w:rPr>
        <w:t>IESBVI will make its special resources available to regent universities, area education agencies, local education agencies, and other public and private agencies. Resource services would provide support in such activities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counseling, and educational planning for visually impaired children and youth;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Programs for development of specialized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Parent education;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Instruction in orientation and mobility;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Preservice and continuing education of teachers and related professionals;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Consultative services to other professionals;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Curriculum development and evaluation;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Development, use, and dissemination of instructional materials and technology.</w:t>
      </w:r>
    </w:p>
    <w:p>
      <w:pPr>
        <w:spacing w:before="0" w:after="0"/>
        <w:ind w:left="120"/>
        <w:jc w:val="both"/>
      </w:pPr>
      <w:r>
        <w:rPr>
          <w:rFonts w:ascii="Times New Roman" w:hAnsi="Times New Roman"/>
          <w:b w:val="false"/>
          <w:i w:val="false"/>
          <w:color w:val="000000"/>
          <w:sz w:val="22"/>
        </w:rPr>
        <w:t>Within the scope of IESBVI’s mission, future programs will be determined by the ongoing evaluation of existing programs and an analysis of developing needs. Programs will be added, curtailed, or eliminated based on assessment of need and the most effective use of resources. IESBVI remains flexible so as to respond quickly and effectively to unmet needs of visually impaired children and youth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IESBVI has two statutory officers: the superintendent and the secretary-treasurer (business manager).</w:t>
      </w:r>
    </w:p>
    <w:p>
      <w:pPr>
        <w:spacing w:before="0" w:after="0"/>
        <w:ind w:left="120"/>
        <w:jc w:val="both"/>
      </w:pPr>
      <w:r>
        <w:rPr>
          <w:rFonts w:ascii="Times New Roman" w:hAnsi="Times New Roman"/>
          <w:b w:val="false"/>
          <w:i w:val="false"/>
          <w:color w:val="000000"/>
          <w:sz w:val="22"/>
        </w:rPr>
        <w:t>The superintendent is the chief administrative officer of IESBVI and has such authority and duties as delegated by the department of education.</w:t>
      </w:r>
    </w:p>
    <w:p>
      <w:pPr>
        <w:spacing w:before="0" w:after="0"/>
        <w:ind w:left="120"/>
        <w:jc w:val="both"/>
      </w:pPr>
      <w:r>
        <w:rPr>
          <w:rFonts w:ascii="Times New Roman" w:hAnsi="Times New Roman"/>
          <w:b w:val="false"/>
          <w:i w:val="false"/>
          <w:color w:val="000000"/>
          <w:sz w:val="22"/>
        </w:rPr>
        <w:t>The secretary-treasurer (business manager) is responsible for investments, financial transactions, financial records, maintenance of facilities and related services as delegated by the superintendent.</w:t>
      </w:r>
    </w:p>
    <w:p>
      <w:pPr>
        <w:spacing w:before="0" w:after="0"/>
        <w:ind w:left="120"/>
        <w:jc w:val="both"/>
      </w:pPr>
      <w:r>
        <w:rPr>
          <w:rFonts w:ascii="Times New Roman" w:hAnsi="Times New Roman"/>
          <w:b w:val="false"/>
          <w:i w:val="false"/>
          <w:color w:val="000000"/>
          <w:sz w:val="22"/>
        </w:rPr>
        <w:t>The superintendent has nominated, and the board of regents has appointed, a director of education.</w:t>
      </w:r>
    </w:p>
    <w:p>
      <w:pPr>
        <w:spacing w:before="0" w:after="0"/>
        <w:ind w:left="120"/>
        <w:jc w:val="both"/>
      </w:pPr>
      <w:r>
        <w:rPr>
          <w:rFonts w:ascii="Times New Roman" w:hAnsi="Times New Roman"/>
          <w:b w:val="false"/>
          <w:i w:val="false"/>
          <w:color w:val="000000"/>
          <w:sz w:val="22"/>
        </w:rPr>
        <w:t>The director of education is the chief administrative officer of the instructional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The mission of IESBVI is carried out through the regular academic programs, the special curriculum program, and outreach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 xml:space="preserve">Written inquiries, personal inquiries, submissions, and requests should be addressed to the Office of the Superintendent, 3501 Harry Langdon Blvd, Council Bluffs, Iowa 51503, or the office of the Department of Education, Grimes State Office Building, 400 East 14th Street, Des Moines, Iowa 50319. In general, inquiries, submissions and requests by the public may be submitted via informal letter. However, application for a particular purpose is to be made on a specified form. A list of these forms and the address where they may be obtained is found in </w:t>
      </w:r>
      <w:hyperlink r:id="rId5">
        <w:r>
          <w:rPr>
            <w:rStyle w:val="Hyperlink"/>
            <w:rFonts w:ascii="Times New Roman" w:hAnsi="Times New Roman"/>
            <w:b w:val="false"/>
            <w:i w:val="false"/>
            <w:color w:val="000000"/>
            <w:sz w:val="22"/>
          </w:rPr>
          <w:t>281—11.2(256)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w:t>
      </w:r>
      <w:r>
        <w:rPr>
          <w:rFonts w:ascii="Times New Roman" w:hAnsi="Times New Roman"/>
          <w:b w:val="false"/>
          <w:i w:val="false"/>
          <w:color w:val="000000"/>
          <w:sz w:val="22"/>
        </w:rPr>
        <w:t> </w:t>
      </w:r>
      <w:r>
        <w:rPr>
          <w:rFonts w:ascii="Times New Roman" w:hAnsi="Times New Roman"/>
          <w:b w:val="false"/>
          <w:i/>
          <w:color w:val="000000"/>
          <w:sz w:val="22"/>
        </w:rPr>
        <w:t xml:space="preserve"> Manual for employees. </w:t>
      </w:r>
      <w:r>
        <w:rPr>
          <w:rFonts w:ascii="Times New Roman" w:hAnsi="Times New Roman"/>
          <w:b w:val="false"/>
          <w:i w:val="false"/>
          <w:color w:val="000000"/>
          <w:sz w:val="22"/>
        </w:rPr>
        <w:t>The manual for employees contains the policies governing the internal administrative operation of IESBVI. It is available for public inspection in the business office, superintendent’s office, the personnel office, and in the office of the department of education.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281—11.2</w:t>
      </w:r>
      <w:r>
        <w:rPr>
          <w:rFonts w:ascii="Times New Roman" w:hAnsi="Times New Roman"/>
          <w:b/>
          <w:i w:val="false"/>
          <w:color w:val="000000"/>
          <w:sz w:val="22"/>
        </w:rPr>
        <w:t xml:space="preserve">(256) </w:t>
      </w:r>
      <w:r>
        <w:rPr>
          <w:rFonts w:ascii="Times New Roman" w:hAnsi="Times New Roman"/>
          <w:b/>
          <w:i w:val="false"/>
          <w:color w:val="000000"/>
          <w:sz w:val="22"/>
        </w:rPr>
        <w:t xml:space="preserve">Forms. </w:t>
      </w:r>
      <w:r>
        <w:rPr>
          <w:rFonts w:ascii="Times New Roman" w:hAnsi="Times New Roman"/>
          <w:b w:val="false"/>
          <w:i w:val="false"/>
          <w:color w:val="000000"/>
          <w:sz w:val="22"/>
        </w:rPr>
        <w:t>Iowa Educational Services for the Blind &amp; Visually Impaired uses a number of forms in its relations with the public. They are available from the superintendent’s office, 3501 Harry Langdon Blvd, Council Bluffs, Iowa 51503.</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281—11.3</w:t>
      </w:r>
      <w:r>
        <w:rPr>
          <w:rFonts w:ascii="Times New Roman" w:hAnsi="Times New Roman"/>
          <w:b/>
          <w:i w:val="false"/>
          <w:color w:val="000000"/>
          <w:sz w:val="22"/>
        </w:rPr>
        <w:t xml:space="preserve">(256) </w:t>
      </w:r>
      <w:r>
        <w:rPr>
          <w:rFonts w:ascii="Times New Roman" w:hAnsi="Times New Roman"/>
          <w:b/>
          <w:i w:val="false"/>
          <w:color w:val="000000"/>
          <w:sz w:val="22"/>
        </w:rPr>
        <w:t xml:space="preserve">Contracting authority. </w:t>
      </w:r>
      <w:r>
        <w:rPr>
          <w:rFonts w:ascii="Times New Roman" w:hAnsi="Times New Roman"/>
          <w:b w:val="false"/>
          <w:i w:val="false"/>
          <w:color w:val="000000"/>
          <w:sz w:val="22"/>
        </w:rPr>
        <w:t xml:space="preserve">The board of regents has delegated to the superintendent authority to make contracts and agreements as specified in </w:t>
      </w:r>
      <w:hyperlink r:id="rId7">
        <w:r>
          <w:rPr>
            <w:rStyle w:val="Hyperlink"/>
            <w:rFonts w:ascii="Times New Roman" w:hAnsi="Times New Roman"/>
            <w:b w:val="false"/>
            <w:i w:val="false"/>
            <w:color w:val="000000"/>
            <w:sz w:val="22"/>
          </w:rPr>
          <w:t>681—subrule 8.2(3)</w:t>
        </w:r>
      </w:hyperlink>
      <w:r>
        <w:rPr>
          <w:rFonts w:ascii="Times New Roman" w:hAnsi="Times New Roman"/>
          <w:b w:val="false"/>
          <w:i w:val="false"/>
          <w:color w:val="000000"/>
          <w:sz w:val="22"/>
        </w:rPr>
        <w:t>. The superintendent has delegated authority for signing such agreements and contracts to the business manager in all cases except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Employment matters involving deans, directors, principals, faculty, and merit employees are reserved to the office of the superintendent.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Application for grants for educational development and research from all sources are signed by the superintendent.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Supplies, equipment and services to be ordered from sources outside Iowa Educational Services for the Blind &amp; Visually Impaired in compliance with board of regents rules, </w:t>
      </w:r>
      <w:hyperlink r:id="rId8">
        <w:r>
          <w:rPr>
            <w:rStyle w:val="Hyperlink"/>
            <w:rFonts w:ascii="Times New Roman" w:hAnsi="Times New Roman"/>
            <w:b w:val="false"/>
            <w:i w:val="false"/>
            <w:color w:val="000000"/>
            <w:sz w:val="22"/>
          </w:rPr>
          <w:t>681—Chapter 8</w:t>
        </w:r>
      </w:hyperlink>
      <w:r>
        <w:rPr>
          <w:rFonts w:ascii="Times New Roman" w:hAnsi="Times New Roman"/>
          <w:b w:val="false"/>
          <w:i w:val="false"/>
          <w:color w:val="000000"/>
          <w:sz w:val="22"/>
        </w:rPr>
        <w:t>, are purchased only by means of purchase orders or purchase contracts approved and signed by the business manager and based on requisitions submitted to the business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281—11.4</w:t>
      </w:r>
      <w:r>
        <w:rPr>
          <w:rFonts w:ascii="Times New Roman" w:hAnsi="Times New Roman"/>
          <w:b/>
          <w:i w:val="false"/>
          <w:color w:val="000000"/>
          <w:sz w:val="22"/>
        </w:rPr>
        <w:t xml:space="preserve">(256) </w:t>
      </w:r>
      <w:r>
        <w:rPr>
          <w:rFonts w:ascii="Times New Roman" w:hAnsi="Times New Roman"/>
          <w:b/>
          <w:i w:val="false"/>
          <w:color w:val="000000"/>
          <w:sz w:val="22"/>
        </w:rPr>
        <w:t xml:space="preserve">General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Salespersons or agents for any product, proposition, or cause are prohibited from soliciting employees or students in any building or part of Iowa Educational Services for the Blind &amp; Visually Impaired (IESBVI) property except with the permission of the superintendent of the school.</w:t>
      </w:r>
    </w:p>
    <w:p>
      <w:pPr>
        <w:spacing w:before="0" w:after="0"/>
        <w:ind w:left="120"/>
        <w:jc w:val="both"/>
      </w:pPr>
      <w:r>
        <w:rPr>
          <w:rFonts w:ascii="Times New Roman" w:hAnsi="Times New Roman"/>
          <w:b w:val="false"/>
          <w:i w:val="false"/>
          <w:color w:val="000000"/>
          <w:sz w:val="22"/>
        </w:rPr>
        <w:t>Permission is given by the superintendent for the solicitation of employees by charitable organizations under all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charitable organization presents documentation of its tax-exempt status as provided in Section 501(C)(3)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is conducted through IESBVI campus mail system or once a year through an on-campus coordinated campaign of all eligible organizations meeting the conditions and giving written notice to IESBVI of the desire to participate at least 120 days prior to the campaign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organization may be expected to pay the administrative and out-of-pocket costs associated with using the campus mail system or other school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solicitation by any one charitable organization may occur once in any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solicitation using IESBVI facilities may occur except as described above; however, any eligible charitable organization may arrange to conduct information sessions at which no solicitation occurs, at times and places and in a manner the school deems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eligible charitable organization acting pursuant to the authority of this rule may also make use of the payroll deduction system described in Iowa Code sections </w:t>
      </w:r>
      <w:hyperlink r:id="rId9">
        <w:r>
          <w:rPr>
            <w:rStyle w:val="Hyperlink"/>
            <w:rFonts w:ascii="Times New Roman" w:hAnsi="Times New Roman"/>
            <w:b w:val="false"/>
            <w:i w:val="false"/>
            <w:color w:val="000000"/>
            <w:sz w:val="22"/>
          </w:rPr>
          <w:t>70A.14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70A.15</w:t>
        </w:r>
      </w:hyperlink>
      <w:r>
        <w:rPr>
          <w:rFonts w:ascii="Times New Roman" w:hAnsi="Times New Roman"/>
          <w:b w:val="false"/>
          <w:i w:val="false"/>
          <w:color w:val="000000"/>
          <w:sz w:val="22"/>
        </w:rPr>
        <w:t>, if qualified under the terms of those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Smoking of all types is prohibited in all buildings of the campus except the staff lounge and areas not frequented by students. No one may smoke in the presence of a student on any part of the campus or while in any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val="false"/>
          <w:color w:val="000000"/>
          <w:sz w:val="22"/>
        </w:rPr>
        <w:t>The campus speed limit is ten miles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281—11.5</w:t>
      </w:r>
      <w:r>
        <w:rPr>
          <w:rFonts w:ascii="Times New Roman" w:hAnsi="Times New Roman"/>
          <w:b/>
          <w:i w:val="false"/>
          <w:color w:val="000000"/>
          <w:sz w:val="22"/>
        </w:rPr>
        <w:t xml:space="preserve">(256) </w:t>
      </w:r>
      <w:r>
        <w:rPr>
          <w:rFonts w:ascii="Times New Roman" w:hAnsi="Times New Roman"/>
          <w:b/>
          <w:i w:val="false"/>
          <w:color w:val="000000"/>
          <w:sz w:val="22"/>
        </w:rPr>
        <w:t xml:space="preserve">Transportation reimbursement. </w:t>
      </w:r>
      <w:r>
        <w:rPr>
          <w:rFonts w:ascii="Times New Roman" w:hAnsi="Times New Roman"/>
          <w:b w:val="false"/>
          <w:i w:val="false"/>
          <w:color w:val="000000"/>
          <w:sz w:val="22"/>
        </w:rPr>
        <w:t>Transportation reimbursement shall be provided to the parents or guardians of children enrolled in Iowa Educational Services for the Blind &amp; Visually Impaired (IESBVI) at a rate to be established annually by the department of education 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Transportation on a daily basis for children who do not reside at IESVBI.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Not more than 11 trips per year from the institution to the residence of the parent or guardian and return to the institution for children who reside at IESVBI.</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281—11.6</w:t>
      </w:r>
      <w:r>
        <w:rPr>
          <w:rFonts w:ascii="Times New Roman" w:hAnsi="Times New Roman"/>
          <w:b/>
          <w:i w:val="false"/>
          <w:color w:val="000000"/>
          <w:sz w:val="22"/>
        </w:rPr>
        <w:t xml:space="preserve">(256) </w:t>
      </w:r>
      <w:r>
        <w:rPr>
          <w:rFonts w:ascii="Times New Roman" w:hAnsi="Times New Roman"/>
          <w:b/>
          <w:i w:val="false"/>
          <w:color w:val="000000"/>
          <w:sz w:val="22"/>
        </w:rPr>
        <w:t xml:space="preserve">Admission requirements. </w:t>
      </w:r>
      <w:r>
        <w:rPr>
          <w:rFonts w:ascii="Times New Roman" w:hAnsi="Times New Roman"/>
          <w:b w:val="false"/>
          <w:i w:val="false"/>
          <w:color w:val="000000"/>
          <w:sz w:val="22"/>
        </w:rPr>
        <w:t>To be enrolled at IESBVI an individual must meet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visually impaired;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intellectually and physically capable of benefiting from an educational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under 21 years of age;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immunized as evidenced by a valid Iowa department of public health certificate of immunization;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 a resident of the state of Iowa. (The residency requirement will be established on an individual basis consistent with the laws of the state of Iowa and the rules of the state board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9/3/25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281—11.7</w:t>
      </w:r>
      <w:r>
        <w:rPr>
          <w:rFonts w:ascii="Times New Roman" w:hAnsi="Times New Roman"/>
          <w:b w:val="false"/>
          <w:i w:val="false"/>
          <w:color w:val="000000"/>
          <w:sz w:val="22"/>
        </w:rPr>
        <w:t xml:space="preserve"> to </w:t>
      </w:r>
      <w:r>
        <w:rPr>
          <w:rFonts w:ascii="Times New Roman" w:hAnsi="Times New Roman"/>
          <w:b/>
          <w:i w:val="false"/>
          <w:color w:val="000000"/>
          <w:sz w:val="22"/>
        </w:rPr>
        <w:t>11.10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281—11.11</w:t>
      </w:r>
      <w:r>
        <w:rPr>
          <w:rFonts w:ascii="Times New Roman" w:hAnsi="Times New Roman"/>
          <w:b/>
          <w:i w:val="false"/>
          <w:color w:val="000000"/>
          <w:sz w:val="22"/>
        </w:rPr>
        <w:t xml:space="preserve">(256)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Statement of mission. </w:t>
      </w:r>
      <w:r>
        <w:rPr>
          <w:rFonts w:ascii="Times New Roman" w:hAnsi="Times New Roman"/>
          <w:b w:val="false"/>
          <w:i w:val="false"/>
          <w:color w:val="000000"/>
          <w:sz w:val="22"/>
        </w:rPr>
        <w:t>The mission of the Iowa School for the Deaf (ISD) has two primary components: to provide direct educational services to deaf and hard-of-hearing children and youth of the state of Iowa and to serve a leadership and resource role in statewide efforts to meet the needs of the deaf and hard of hearing. In fulfilling its stated mission, ISD will coordinate its efforts with all appropriate state agencies, area education agencies, and local education agencies. Such coordination will be accomplished in the spirit of cooperation reflected in the agreements with these agencies.</w:t>
      </w:r>
    </w:p>
    <w:p>
      <w:pPr>
        <w:spacing w:before="0" w:after="0"/>
        <w:ind w:left="120"/>
        <w:jc w:val="both"/>
      </w:pPr>
      <w:r>
        <w:rPr>
          <w:rFonts w:ascii="Times New Roman" w:hAnsi="Times New Roman"/>
          <w:b w:val="false"/>
          <w:i w:val="false"/>
          <w:color w:val="000000"/>
          <w:sz w:val="22"/>
        </w:rPr>
        <w:t>Consistent with various sections of the Iowa Code, the educational mission of ISD is to provide an appropriate individual education program for deaf and hard-of-hearing children and youth who require the comprehensive programs provided by the school.</w:t>
      </w:r>
    </w:p>
    <w:p>
      <w:pPr>
        <w:spacing w:before="0" w:after="0"/>
        <w:ind w:left="120"/>
        <w:jc w:val="both"/>
      </w:pPr>
      <w:r>
        <w:rPr>
          <w:rFonts w:ascii="Times New Roman" w:hAnsi="Times New Roman"/>
          <w:b w:val="false"/>
          <w:i w:val="false"/>
          <w:color w:val="000000"/>
          <w:sz w:val="22"/>
        </w:rPr>
        <w:t>The educational programs of ISD will be consistent with the philosophy, reflected in federal and state legislation, that disabled and nondisabled children and youth be educated together to the greatest extent possible. Thus, ISD assumes responsibility for providing an education for those deaf and hard-of-hearing children and youth, including those with additional disabilities, for whom the comprehensive educational programs of the school are most appropriate.</w:t>
      </w:r>
    </w:p>
    <w:p>
      <w:pPr>
        <w:spacing w:before="0" w:after="0"/>
        <w:ind w:left="120"/>
        <w:jc w:val="both"/>
      </w:pPr>
      <w:r>
        <w:rPr>
          <w:rFonts w:ascii="Times New Roman" w:hAnsi="Times New Roman"/>
          <w:b w:val="false"/>
          <w:i w:val="false"/>
          <w:color w:val="000000"/>
          <w:sz w:val="22"/>
        </w:rPr>
        <w:t>The educational programs of ISD are based on the premise that the school exists to serve its students by providing a learning environment which, to the greatest extent possible, maximizes each child’s potential to become a contributing member of society by enhancing the development of communication, knowledge, self-realization, human relationships, economic independence, and a sense of civic and social responsibility. The child-centered programs include learning activities and experiences that appropriately and specifically meet the needs of each child.</w:t>
      </w:r>
    </w:p>
    <w:p>
      <w:pPr>
        <w:spacing w:before="0" w:after="0"/>
        <w:ind w:left="120"/>
        <w:jc w:val="both"/>
      </w:pPr>
      <w:r>
        <w:rPr>
          <w:rFonts w:ascii="Times New Roman" w:hAnsi="Times New Roman"/>
          <w:b w:val="false"/>
          <w:i w:val="false"/>
          <w:color w:val="000000"/>
          <w:sz w:val="22"/>
        </w:rPr>
        <w:t>The scope of the educational program includes provisions for the deaf and hard of hearing from infancy through secondary education. Program formats include full-time residential, day school, summer and other short-term residential programs to meet specific needs, vocational, and on- and off-campus individual assessment and evaluation services. For residential students, activities and experiences on a 24-hour basis, not restricted to the traditional academic day, are an integral part of the program.</w:t>
      </w:r>
    </w:p>
    <w:p>
      <w:pPr>
        <w:spacing w:before="0" w:after="0"/>
        <w:ind w:left="120"/>
        <w:jc w:val="both"/>
      </w:pPr>
      <w:r>
        <w:rPr>
          <w:rFonts w:ascii="Times New Roman" w:hAnsi="Times New Roman"/>
          <w:b w:val="false"/>
          <w:i w:val="false"/>
          <w:color w:val="000000"/>
          <w:sz w:val="22"/>
        </w:rPr>
        <w:t>ISD also serves as a state resource and dissemination center for education of the deaf and hard of hearing. In this role, the school has a central and vital mission in the statewide education of the deaf and hard of hearing and provides a resource center for educators, related field professionals, parents, the deaf and hard-of-hearing community, and all interested citizens. Such a role affords the opportunity for the community-at-large to draw upon the specialized programs and services available at ISD.</w:t>
      </w:r>
    </w:p>
    <w:p>
      <w:pPr>
        <w:spacing w:before="0" w:after="0"/>
        <w:ind w:left="120"/>
        <w:jc w:val="both"/>
      </w:pPr>
      <w:r>
        <w:rPr>
          <w:rFonts w:ascii="Times New Roman" w:hAnsi="Times New Roman"/>
          <w:b w:val="false"/>
          <w:i w:val="false"/>
          <w:color w:val="000000"/>
          <w:sz w:val="22"/>
        </w:rPr>
        <w:t>ISD will make its special resources available to regent universities, area education agencies, local education agencies, and other public and private agencies. Resource services would provide support in such activities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counseling, and educational planning for deaf and hard-of-hearing children and youth;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Programs for development of specialized communications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Parent education;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Extended educational programming for deaf and hard-of-hearing adults;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Preservice and continuing education of teachers and related professionals;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Curriculum development and evaluation;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Development and dissemination of instructional materials and technology.</w:t>
      </w:r>
    </w:p>
    <w:p>
      <w:pPr>
        <w:spacing w:before="0" w:after="0"/>
        <w:ind w:left="120"/>
        <w:jc w:val="both"/>
      </w:pPr>
      <w:r>
        <w:rPr>
          <w:rFonts w:ascii="Times New Roman" w:hAnsi="Times New Roman"/>
          <w:b w:val="false"/>
          <w:i w:val="false"/>
          <w:color w:val="000000"/>
          <w:sz w:val="22"/>
        </w:rPr>
        <w:t>Within the scope of the school’s mission, future programs will be determined by the ongoing evaluation of existing programs and an analysis of developing needs. Programs will be added, curtailed, or eliminated based on assessment of need and the most effective use of resources. The school remains flexible so as to respond quickly and effectively to unmet needs of deaf and hard-of-hearing children and youth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The school has two statutory officers: the superintendent and the secretary-treasurer.</w:t>
      </w:r>
    </w:p>
    <w:p>
      <w:pPr>
        <w:spacing w:before="0" w:after="0"/>
        <w:ind w:left="120"/>
        <w:jc w:val="both"/>
      </w:pPr>
      <w:r>
        <w:rPr>
          <w:rFonts w:ascii="Times New Roman" w:hAnsi="Times New Roman"/>
          <w:b w:val="false"/>
          <w:i w:val="false"/>
          <w:color w:val="000000"/>
          <w:sz w:val="22"/>
        </w:rPr>
        <w:t>The superintendent is the chief administrative officer of the school and has such authority and duties as delegated by the board of regents.</w:t>
      </w:r>
    </w:p>
    <w:p>
      <w:pPr>
        <w:spacing w:before="0" w:after="0"/>
        <w:ind w:left="120"/>
        <w:jc w:val="both"/>
      </w:pPr>
      <w:r>
        <w:rPr>
          <w:rFonts w:ascii="Times New Roman" w:hAnsi="Times New Roman"/>
          <w:b w:val="false"/>
          <w:i w:val="false"/>
          <w:color w:val="000000"/>
          <w:sz w:val="22"/>
        </w:rPr>
        <w:t>The secretary-treasurer is responsible for nonfaculty personnel, investments, financial transactions, financial records, maintenance of facilities and related services as delegated by the superintendent. The secretary-treasurer is also designated as business manager.</w:t>
      </w:r>
    </w:p>
    <w:p>
      <w:pPr>
        <w:spacing w:before="0" w:after="0"/>
        <w:ind w:left="120"/>
        <w:jc w:val="both"/>
      </w:pPr>
      <w:r>
        <w:rPr>
          <w:rFonts w:ascii="Times New Roman" w:hAnsi="Times New Roman"/>
          <w:b w:val="false"/>
          <w:i w:val="false"/>
          <w:color w:val="000000"/>
          <w:sz w:val="22"/>
        </w:rPr>
        <w:t>The superintendent has nominated and the board of regents has appointed a director of business operations, a director of student life, and a director of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The academic mission of the school is principally carried out through its elementary, middle school, and high school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11.11(4)</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Written and personal inquiry, submissions and requests should be addressed to the Office of the Superintendent, Iowa School for the Deaf, 3501 Harry Langdon Blvd., Council Bluffs, Iowa 51503-7898, or the office of the Iowa Department of Education, Grimes State Office Building, 400 East 14th Street, Des Moines, Iowa 50319.</w:t>
      </w:r>
    </w:p>
    <w:p>
      <w:pPr>
        <w:spacing w:before="0" w:after="0"/>
        <w:ind w:left="120"/>
        <w:jc w:val="both"/>
      </w:pPr>
      <w:r>
        <w:rPr>
          <w:rFonts w:ascii="Times New Roman" w:hAnsi="Times New Roman"/>
          <w:b w:val="false"/>
          <w:i w:val="false"/>
          <w:color w:val="000000"/>
          <w:sz w:val="22"/>
        </w:rPr>
        <w:t xml:space="preserve">Generally, inquiries, submissions and requests by the public may be submitted by informal letter. However, application for some purposes is to be made on a specified form. A list of the forms, general description, and the address where they may be obtained are found at </w:t>
      </w:r>
      <w:hyperlink r:id="rId11">
        <w:r>
          <w:rPr>
            <w:rStyle w:val="Hyperlink"/>
            <w:rFonts w:ascii="Times New Roman" w:hAnsi="Times New Roman"/>
            <w:b w:val="false"/>
            <w:i w:val="false"/>
            <w:color w:val="000000"/>
            <w:sz w:val="22"/>
          </w:rPr>
          <w:t>281—11.11(256)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281—11.12</w:t>
      </w:r>
      <w:r>
        <w:rPr>
          <w:rFonts w:ascii="Times New Roman" w:hAnsi="Times New Roman"/>
          <w:b/>
          <w:i w:val="false"/>
          <w:color w:val="000000"/>
          <w:sz w:val="22"/>
        </w:rPr>
        <w:t xml:space="preserve">(256) </w:t>
      </w:r>
      <w:r>
        <w:rPr>
          <w:rFonts w:ascii="Times New Roman" w:hAnsi="Times New Roman"/>
          <w:b/>
          <w:i w:val="false"/>
          <w:color w:val="000000"/>
          <w:sz w:val="22"/>
        </w:rPr>
        <w:t xml:space="preserve">Forms. </w:t>
      </w:r>
      <w:r>
        <w:rPr>
          <w:rFonts w:ascii="Times New Roman" w:hAnsi="Times New Roman"/>
          <w:b w:val="false"/>
          <w:i w:val="false"/>
          <w:color w:val="000000"/>
          <w:sz w:val="22"/>
        </w:rPr>
        <w:t>The school uses the following forms in its relations with the public. They are available from the superintendent’s office, Iowa School for the Deaf, 3501 Harry Langdon Blvd., Council Bluffs, Iowa 51503-7898.</w:t>
      </w:r>
    </w:p>
    <w:p>
      <w:pPr>
        <w:spacing w:before="0" w:after="0"/>
        <w:ind w:left="356"/>
        <w:jc w:val="both"/>
      </w:pPr>
      <w:r>
        <w:rPr>
          <w:rFonts w:ascii="Times New Roman" w:hAnsi="Times New Roman"/>
          <w:b w:val="false"/>
          <w:i w:val="false"/>
          <w:color w:val="000000"/>
          <w:sz w:val="22"/>
        </w:rPr>
        <w:t>Application for student admission</w:t>
      </w:r>
    </w:p>
    <w:p>
      <w:pPr>
        <w:spacing w:before="0" w:after="0"/>
        <w:ind w:left="356"/>
        <w:jc w:val="both"/>
      </w:pPr>
      <w:r>
        <w:rPr>
          <w:rFonts w:ascii="Times New Roman" w:hAnsi="Times New Roman"/>
          <w:b w:val="false"/>
          <w:i w:val="false"/>
          <w:color w:val="000000"/>
          <w:sz w:val="22"/>
        </w:rPr>
        <w:t>Facilities Request Form</w:t>
      </w:r>
    </w:p>
    <w:p>
      <w:pPr>
        <w:spacing w:before="0" w:after="0"/>
        <w:ind w:left="356"/>
        <w:jc w:val="both"/>
      </w:pPr>
      <w:r>
        <w:rPr>
          <w:rFonts w:ascii="Times New Roman" w:hAnsi="Times New Roman"/>
          <w:b w:val="false"/>
          <w:i w:val="false"/>
          <w:color w:val="000000"/>
          <w:sz w:val="22"/>
        </w:rPr>
        <w:t>Employment—application for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281—11.13</w:t>
      </w:r>
      <w:r>
        <w:rPr>
          <w:rFonts w:ascii="Times New Roman" w:hAnsi="Times New Roman"/>
          <w:b/>
          <w:i w:val="false"/>
          <w:color w:val="000000"/>
          <w:sz w:val="22"/>
        </w:rPr>
        <w:t xml:space="preserve">(256) </w:t>
      </w:r>
      <w:r>
        <w:rPr>
          <w:rFonts w:ascii="Times New Roman" w:hAnsi="Times New Roman"/>
          <w:b/>
          <w:i w:val="false"/>
          <w:color w:val="000000"/>
          <w:sz w:val="22"/>
        </w:rPr>
        <w:t xml:space="preserve">Contracting authority. </w:t>
      </w:r>
      <w:r>
        <w:rPr>
          <w:rFonts w:ascii="Times New Roman" w:hAnsi="Times New Roman"/>
          <w:b w:val="false"/>
          <w:i w:val="false"/>
          <w:color w:val="000000"/>
          <w:sz w:val="22"/>
        </w:rPr>
        <w:t>The board of regents has delegated to the superintendent authority to make contracts and agreements as specified in the regents policy manual. The superintendent has delegated authority for signing such agreements and contracts to the business manager in all cases except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Employment matters involving directors, principals, and faculty are reserved to the office of the superintendent.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Application for grants for educational development and research from all sources are signed by the superintendent.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Supplies, equipment, and services to be ordered from sources outside the school in compliance with board of regents rules, </w:t>
      </w:r>
      <w:hyperlink r:id="rId13">
        <w:r>
          <w:rPr>
            <w:rStyle w:val="Hyperlink"/>
            <w:rFonts w:ascii="Times New Roman" w:hAnsi="Times New Roman"/>
            <w:b w:val="false"/>
            <w:i w:val="false"/>
            <w:color w:val="000000"/>
            <w:sz w:val="22"/>
          </w:rPr>
          <w:t>681—Chapter 8</w:t>
        </w:r>
      </w:hyperlink>
      <w:r>
        <w:rPr>
          <w:rFonts w:ascii="Times New Roman" w:hAnsi="Times New Roman"/>
          <w:b w:val="false"/>
          <w:i w:val="false"/>
          <w:color w:val="000000"/>
          <w:sz w:val="22"/>
        </w:rPr>
        <w:t>, are purchased only by means of purchase orders or purchase contracts approved and signed by the business manager and based on requisitions submitted to the business manager.</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281—11.14</w:t>
      </w:r>
      <w:r>
        <w:rPr>
          <w:rFonts w:ascii="Times New Roman" w:hAnsi="Times New Roman"/>
          <w:b/>
          <w:i w:val="false"/>
          <w:color w:val="000000"/>
          <w:sz w:val="22"/>
        </w:rPr>
        <w:t xml:space="preserve">(256) </w:t>
      </w:r>
      <w:r>
        <w:rPr>
          <w:rFonts w:ascii="Times New Roman" w:hAnsi="Times New Roman"/>
          <w:b/>
          <w:i w:val="false"/>
          <w:color w:val="000000"/>
          <w:sz w:val="22"/>
        </w:rPr>
        <w:t xml:space="preserve">Transportation. </w:t>
      </w:r>
      <w:r>
        <w:rPr>
          <w:rFonts w:ascii="Times New Roman" w:hAnsi="Times New Roman"/>
          <w:b w:val="false"/>
          <w:i w:val="false"/>
          <w:color w:val="000000"/>
          <w:sz w:val="22"/>
        </w:rPr>
        <w:t>Transportation from the institution to the residence of the parents or guardians and return to the institution for children enrolled in the Iowa School for the Deaf shall be reimbursed or provided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Transportation or transportation reimbursement at a rate to be established annually by the state board of regents shall be provided to the parents or guardians of children who reside in the Council Bluffs area but do not live at the school and travel daily to the school.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Transportation for children who attend the school and live outside the Council Bluffs area shall be provided in accordance with special education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281—11.15</w:t>
      </w:r>
      <w:r>
        <w:rPr>
          <w:rFonts w:ascii="Times New Roman" w:hAnsi="Times New Roman"/>
          <w:b/>
          <w:i w:val="false"/>
          <w:color w:val="000000"/>
          <w:sz w:val="22"/>
        </w:rPr>
        <w:t xml:space="preserve">(256) </w:t>
      </w:r>
      <w:r>
        <w:rPr>
          <w:rFonts w:ascii="Times New Roman" w:hAnsi="Times New Roman"/>
          <w:b/>
          <w:i w:val="false"/>
          <w:color w:val="000000"/>
          <w:sz w:val="22"/>
        </w:rPr>
        <w:t xml:space="preserve">General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11.15(1)</w:t>
      </w:r>
      <w:r>
        <w:rPr>
          <w:rFonts w:ascii="Times New Roman" w:hAnsi="Times New Roman"/>
          <w:b w:val="false"/>
          <w:i w:val="false"/>
          <w:color w:val="000000"/>
          <w:sz w:val="22"/>
        </w:rPr>
        <w:t> </w:t>
      </w:r>
      <w:r>
        <w:rPr>
          <w:rFonts w:ascii="Times New Roman" w:hAnsi="Times New Roman"/>
          <w:b w:val="false"/>
          <w:i w:val="false"/>
          <w:color w:val="000000"/>
          <w:sz w:val="22"/>
        </w:rPr>
        <w:t>Salespersons or agents for any product, proposition, or cause are prohibited from soliciting employees or students in any building or part of the school property, except with the permission of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11.15(2)</w:t>
      </w:r>
      <w:r>
        <w:rPr>
          <w:rFonts w:ascii="Times New Roman" w:hAnsi="Times New Roman"/>
          <w:b w:val="false"/>
          <w:i w:val="false"/>
          <w:color w:val="000000"/>
          <w:sz w:val="22"/>
        </w:rPr>
        <w:t> </w:t>
      </w:r>
      <w:r>
        <w:rPr>
          <w:rFonts w:ascii="Times New Roman" w:hAnsi="Times New Roman"/>
          <w:b w:val="false"/>
          <w:i w:val="false"/>
          <w:color w:val="000000"/>
          <w:sz w:val="22"/>
        </w:rPr>
        <w:t>Permission is given by the superintendent for the solicitation of employees by charitable organizations under all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charitable organization presents documentation of its tax-exempt status as provided in Section 501(C)(3)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is conducted through the school’s campus mail system or once a year through an on-campus coordinated campaign of all eligible organizations meeting the conditions and giving written notice to the school of the desire to participate at least 120 days prior to the campaign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organization may be expected to pay the administrative and out-of-pocket costs associated with using the campus mail system or other school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solicitation by any one charitable organization may occur once in any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solicitation using the school’s facilities may occur except as described above; however, any eligible charitable organization may arrange to conduct information sessions at which no solicitation occurs, at times and places and in a manner the school deems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eligible charitable organization acting pursuant to the authority of this rule may also make use of the payroll deduction system described in Iowa Code sections </w:t>
      </w:r>
      <w:hyperlink r:id="rId14">
        <w:r>
          <w:rPr>
            <w:rStyle w:val="Hyperlink"/>
            <w:rFonts w:ascii="Times New Roman" w:hAnsi="Times New Roman"/>
            <w:b w:val="false"/>
            <w:i w:val="false"/>
            <w:color w:val="000000"/>
            <w:sz w:val="22"/>
          </w:rPr>
          <w:t>70A.14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70A.15</w:t>
        </w:r>
      </w:hyperlink>
      <w:r>
        <w:rPr>
          <w:rFonts w:ascii="Times New Roman" w:hAnsi="Times New Roman"/>
          <w:b w:val="false"/>
          <w:i w:val="false"/>
          <w:color w:val="000000"/>
          <w:sz w:val="22"/>
        </w:rPr>
        <w:t>, if qualified under the terms of those provisions.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70A.14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70A.15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[Editorial change: IAC Supplement 9/3/25]</w:t>
      </w:r>
      <w:r>
        <w:rPr>
          <w:rFonts w:ascii="Times New Roman" w:hAnsi="Times New Roman"/>
          <w:b w:val="false"/>
          <w:i w:val="false"/>
          <w:color w:val="000000"/>
          <w:sz w:val="21"/>
        </w:rPr>
        <w:t xml:space="preserve"> </w:t>
      </w:r>
    </w:p>
    <w:sectPr>
      <w:footerReference r:id="rId19"/>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1.11.2.pdf" Type="http://schemas.openxmlformats.org/officeDocument/2006/relationships/hyperlink" Id="rId5"/>
    <Relationship TargetMode="External" Target="https://www.legis.iowa.gov/docs/ico/chapter/256.pdf" Type="http://schemas.openxmlformats.org/officeDocument/2006/relationships/hyperlink" Id="rId6"/>
    <Relationship TargetMode="External" Target="https://www.legis.iowa.gov/docs/iac/rule/681.8.2.pdf" Type="http://schemas.openxmlformats.org/officeDocument/2006/relationships/hyperlink" Id="rId7"/>
    <Relationship TargetMode="External" Target="https://www.legis.iowa.gov/docs/iac/chapter/681.8.pdf" Type="http://schemas.openxmlformats.org/officeDocument/2006/relationships/hyperlink" Id="rId8"/>
    <Relationship TargetMode="External" Target="https://www.legis.iowa.gov/docs/ico/chapter/70A.14.pdf" Type="http://schemas.openxmlformats.org/officeDocument/2006/relationships/hyperlink" Id="rId9"/>
    <Relationship TargetMode="External" Target="https://www.legis.iowa.gov/docs/ico/chapter/70A.15.pdf" Type="http://schemas.openxmlformats.org/officeDocument/2006/relationships/hyperlink" Id="rId10"/>
    <Relationship TargetMode="External" Target="https://www.legis.iowa.gov/docs/iac/rule/281.11.11.pdf" Type="http://schemas.openxmlformats.org/officeDocument/2006/relationships/hyperlink" Id="rId11"/>
    <Relationship TargetMode="External" Target="https://www.legis.iowa.gov/docs/ico/chapter/256.pdf" Type="http://schemas.openxmlformats.org/officeDocument/2006/relationships/hyperlink" Id="rId12"/>
    <Relationship TargetMode="External" Target="https://www.legis.iowa.gov/docs/iac/chapter/681.8.pdf" Type="http://schemas.openxmlformats.org/officeDocument/2006/relationships/hyperlink" Id="rId13"/>
    <Relationship TargetMode="External" Target="https://www.legis.iowa.gov/docs/ico/chapter/70A.14.pdf" Type="http://schemas.openxmlformats.org/officeDocument/2006/relationships/hyperlink" Id="rId14"/>
    <Relationship TargetMode="External" Target="https://www.legis.iowa.gov/docs/ico/chapter/70A.15.pdf" Type="http://schemas.openxmlformats.org/officeDocument/2006/relationships/hyperlink" Id="rId15"/>
    <Relationship TargetMode="External" Target="https://www.legis.iowa.gov/docs/ico/chapter/70A.14.pdf" Type="http://schemas.openxmlformats.org/officeDocument/2006/relationships/hyperlink" Id="rId16"/>
    <Relationship TargetMode="External" Target="https://www.legis.iowa.gov/docs/ico/chapter/70A.15.pdf" Type="http://schemas.openxmlformats.org/officeDocument/2006/relationships/hyperlink" Id="rId17"/>
    <Relationship TargetMode="External" Target="https://www.legis.iowa.gov/docs/ico/chapter/256.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