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CORPORAL PUNISHMENT, PHYSICAL RESTRAINT, SECLUSION, AND OTHER</w:t>
      </w:r>
      <w:r>
        <w:br/>
      </w:r>
      <w:r>
        <w:rPr>
          <w:rFonts w:ascii="Times New Roman" w:hAnsi="Times New Roman"/>
          <w:b w:val="false"/>
          <w:i w:val="false"/>
          <w:color w:val="000000"/>
          <w:sz w:val="21"/>
        </w:rPr>
        <w:t xml:space="preserve"> PHYSICAL CONTACT WITH STUDENTS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281—103.1</w:t>
      </w:r>
      <w:r>
        <w:rPr>
          <w:rFonts w:ascii="Times New Roman" w:hAnsi="Times New Roman"/>
          <w:b/>
          <w:i w:val="false"/>
          <w:color w:val="000000"/>
          <w:sz w:val="22"/>
        </w:rPr>
        <w:t xml:space="preserve">(256B,280) </w:t>
      </w:r>
      <w:r>
        <w:rPr>
          <w:rFonts w:ascii="Times New Roman" w:hAnsi="Times New Roman"/>
          <w:b/>
          <w:i w:val="false"/>
          <w:color w:val="000000"/>
          <w:sz w:val="22"/>
        </w:rPr>
        <w:t xml:space="preserve">Purpose and objectives. </w:t>
      </w:r>
      <w:r>
        <w:rPr>
          <w:rFonts w:ascii="Times New Roman" w:hAnsi="Times New Roman"/>
          <w:b w:val="false"/>
          <w:i w:val="false"/>
          <w:color w:val="000000"/>
          <w:sz w:val="22"/>
        </w:rPr>
        <w:t>The purpose of this chapter is to provide uniform definitions and policies for public school districts, accredited nonpublic schools, and area education agencies regarding the application of physical contact or force to enrolled students. These rules clarify that corporal punishment, prone restraint, and mechanical restraint are prohibited; explain the parameters and protocols for the use of physical restraint and seclusion; and describe other limits on physical contact with students. The applicability of this chapter to physical restraint, seclusion, or behavior management interventions does not depend on the terminology employed by the organization to describe the activity or space. These rules are intended to promote the dignity, care, safety, welfare, and security of each child and the school community; encourage the use of proactive, effective, and evidence- and research-based strategies and best practices to reduce the occurrence of challenging behaviors; increase meaningful instructional time for all students; ensure that seclusion and physical restraint are used only in specified circumstances and are subject to assessment, monitoring, documentation, and reporting by trained employees; and give clear guidance on whether a disciplinary or behavioral management technique is prohibited or may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281—103.2</w:t>
      </w:r>
      <w:r>
        <w:rPr>
          <w:rFonts w:ascii="Times New Roman" w:hAnsi="Times New Roman"/>
          <w:b/>
          <w:i w:val="false"/>
          <w:color w:val="000000"/>
          <w:sz w:val="22"/>
        </w:rPr>
        <w:t xml:space="preserve">(256B,280)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“Bodily injury” </w:t>
      </w:r>
      <w:r>
        <w:rPr>
          <w:rFonts w:ascii="Times New Roman" w:hAnsi="Times New Roman"/>
          <w:b w:val="false"/>
          <w:i w:val="false"/>
          <w:color w:val="000000"/>
          <w:sz w:val="22"/>
        </w:rPr>
        <w:t>means physical pain, illness, or any impairment of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“Corporal punishment” </w:t>
      </w:r>
      <w:r>
        <w:rPr>
          <w:rFonts w:ascii="Times New Roman" w:hAnsi="Times New Roman"/>
          <w:b w:val="false"/>
          <w:i w:val="false"/>
          <w:color w:val="000000"/>
          <w:sz w:val="22"/>
        </w:rPr>
        <w:t>means the intentional physical punishment of a student. “Corporal punishment” includes the use of unreasonable or unnecessary physical force, or physical contact made with the intent to harm or cause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“Debriefings” </w:t>
      </w:r>
      <w:r>
        <w:rPr>
          <w:rFonts w:ascii="Times New Roman" w:hAnsi="Times New Roman"/>
          <w:b w:val="false"/>
          <w:i w:val="false"/>
          <w:color w:val="000000"/>
          <w:sz w:val="22"/>
        </w:rPr>
        <w:t>means meetings to collaboratively examine and determine what caused an incident or incidents resulting in the use of physical restraints or seclusion, how the incident or the use of physical restraints or seclusion or both could have been avoided and how future incidents could be avoided, and to plan for and implement positive and preventative supports. The debriefing process is intended to improve future outcomes by reducing the likelihood of future problem behavior and the subsequent use of physical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“Mechanical restraint” </w:t>
      </w:r>
      <w:r>
        <w:rPr>
          <w:rFonts w:ascii="Times New Roman" w:hAnsi="Times New Roman"/>
          <w:b w:val="false"/>
          <w:i w:val="false"/>
          <w:color w:val="000000"/>
          <w:sz w:val="22"/>
        </w:rPr>
        <w:t>means the use of a device as a means of restricting a student’s freedom of movement. “Mechanical restraint” does not mean a device used by trained school personnel, or used by a student, for the specific and approved therapeutic or safety purposes for which such a device was designed and, if applicable, prescribed, including restraints for medical immobilization, adaptive devices or mechanical supports used to allow greater freedom of mobility than would be possible without the use of such devices or mechanical supports, and vehicle safety restraints when used as intended during the transport of a student in a moving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 xml:space="preserve">means an individual included in the definition of “parent” in rule </w:t>
      </w:r>
      <w:hyperlink r:id="rId5">
        <w:r>
          <w:rPr>
            <w:rStyle w:val="Hyperlink"/>
            <w:rFonts w:ascii="Times New Roman" w:hAnsi="Times New Roman"/>
            <w:b w:val="false"/>
            <w:i w:val="false"/>
            <w:color w:val="000000"/>
            <w:sz w:val="22"/>
          </w:rPr>
          <w:t>281—41.30</w:t>
        </w:r>
      </w:hyperlink>
      <w:r>
        <w:rPr>
          <w:rFonts w:ascii="Times New Roman" w:hAnsi="Times New Roman"/>
          <w:b w:val="false"/>
          <w:i w:val="false"/>
          <w:color w:val="000000"/>
          <w:sz w:val="22"/>
        </w:rPr>
        <w:t>(256B,34CFR300), and also includes an individual authorized to make decisions for the child pursuant to a power of attorney for temporary delegation of custody or for making educational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restraint” </w:t>
      </w:r>
      <w:r>
        <w:rPr>
          <w:rFonts w:ascii="Times New Roman" w:hAnsi="Times New Roman"/>
          <w:b w:val="false"/>
          <w:i w:val="false"/>
          <w:color w:val="000000"/>
          <w:sz w:val="22"/>
        </w:rPr>
        <w:t>means a personal restriction that immobilizes or reduces the ability of a child to move the child’s arms, legs, body, or head freely. “Physical restraint” does not mean a technique used by trained school personnel, or used by a student, for the specific and approved therapeutic or safety purposes for which such a technique was designed and, if applicable, prescribed. “Physical restraint” does not include instructional strategies, such as physically guiding a student during an educational task, hand-shaking, hugging, or other nondisciplinary physical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“Prone restraint” </w:t>
      </w:r>
      <w:r>
        <w:rPr>
          <w:rFonts w:ascii="Times New Roman" w:hAnsi="Times New Roman"/>
          <w:b w:val="false"/>
          <w:i w:val="false"/>
          <w:color w:val="000000"/>
          <w:sz w:val="22"/>
        </w:rPr>
        <w:t>means any restraint in which the child is held face down on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and necessary force” </w:t>
      </w:r>
      <w:r>
        <w:rPr>
          <w:rFonts w:ascii="Times New Roman" w:hAnsi="Times New Roman"/>
          <w:b w:val="false"/>
          <w:i w:val="false"/>
          <w:color w:val="000000"/>
          <w:sz w:val="22"/>
        </w:rPr>
        <w:t xml:space="preserve">means that force, and no more, that a reasonable person would judge to be necessary under the circumstances that existed at the time, that is not intended to cause pain, and that does not exceed the degree or duration required to accomplish the purposes set forth in rule </w:t>
      </w:r>
      <w:hyperlink r:id="rId6">
        <w:r>
          <w:rPr>
            <w:rStyle w:val="Hyperlink"/>
            <w:rFonts w:ascii="Times New Roman" w:hAnsi="Times New Roman"/>
            <w:b w:val="false"/>
            <w:i w:val="false"/>
            <w:color w:val="000000"/>
            <w:sz w:val="22"/>
          </w:rPr>
          <w:t>281—103.5</w:t>
        </w:r>
      </w:hyperlink>
      <w:r>
        <w:rPr>
          <w:rFonts w:ascii="Times New Roman" w:hAnsi="Times New Roman"/>
          <w:b w:val="false"/>
          <w:i w:val="false"/>
          <w:color w:val="000000"/>
          <w:sz w:val="22"/>
        </w:rPr>
        <w:t>(256B,280).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includes public school districts, accredited nonpublic schools, and area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“Seclusion” </w:t>
      </w:r>
      <w:r>
        <w:rPr>
          <w:rFonts w:ascii="Times New Roman" w:hAnsi="Times New Roman"/>
          <w:b w:val="false"/>
          <w:i w:val="false"/>
          <w:color w:val="000000"/>
          <w:sz w:val="22"/>
        </w:rPr>
        <w:t>means the involuntary confinement of a child in a seclusion room or area from which the child is prevented or prohibited from leaving; however, preventing a child from leaving a classroom or school building is not considered seclusion. “Seclusion” does not include instances when a school employee is present within the room and providing services to the child, such as crisis intervention or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“Seclusion room” </w:t>
      </w:r>
      <w:r>
        <w:rPr>
          <w:rFonts w:ascii="Times New Roman" w:hAnsi="Times New Roman"/>
          <w:b w:val="false"/>
          <w:i w:val="false"/>
          <w:color w:val="000000"/>
          <w:sz w:val="22"/>
        </w:rPr>
        <w:t>means a room, area, or enclosure, whether within or outside the classroom, used for seclusion.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281—103.3</w:t>
      </w:r>
      <w:r>
        <w:rPr>
          <w:rFonts w:ascii="Times New Roman" w:hAnsi="Times New Roman"/>
          <w:b/>
          <w:i w:val="false"/>
          <w:color w:val="000000"/>
          <w:sz w:val="22"/>
        </w:rPr>
        <w:t xml:space="preserve">(256B,280) </w:t>
      </w:r>
      <w:r>
        <w:rPr>
          <w:rFonts w:ascii="Times New Roman" w:hAnsi="Times New Roman"/>
          <w:b/>
          <w:i w:val="false"/>
          <w:color w:val="000000"/>
          <w:sz w:val="22"/>
        </w:rPr>
        <w:t xml:space="preserve">Ban on corporal punishment and prone and mechanical restraints. </w:t>
      </w:r>
      <w:r>
        <w:rPr>
          <w:rFonts w:ascii="Times New Roman" w:hAnsi="Times New Roman"/>
          <w:b w:val="false"/>
          <w:i w:val="false"/>
          <w:color w:val="000000"/>
          <w:sz w:val="22"/>
        </w:rPr>
        <w:t>An employee shall not inflict, or cause to be inflicted, corporal punishment upon a student or use prone restraints or mechanical restraints upon a student.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281—103.4</w:t>
      </w:r>
      <w:r>
        <w:rPr>
          <w:rFonts w:ascii="Times New Roman" w:hAnsi="Times New Roman"/>
          <w:b/>
          <w:i w:val="false"/>
          <w:color w:val="000000"/>
          <w:sz w:val="22"/>
        </w:rPr>
        <w:t xml:space="preserve">(256B,280) </w:t>
      </w:r>
      <w:r>
        <w:rPr>
          <w:rFonts w:ascii="Times New Roman" w:hAnsi="Times New Roman"/>
          <w:b/>
          <w:i w:val="false"/>
          <w:color w:val="000000"/>
          <w:sz w:val="22"/>
        </w:rPr>
        <w:t xml:space="preserve">Activities that are not considered corporal punishment. </w:t>
      </w:r>
      <w:r>
        <w:rPr>
          <w:rFonts w:ascii="Times New Roman" w:hAnsi="Times New Roman"/>
          <w:b w:val="false"/>
          <w:i w:val="false"/>
          <w:color w:val="000000"/>
          <w:sz w:val="22"/>
        </w:rPr>
        <w:t>Corporal punishment does not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Verbal recrimination or chastisement directed toward a student;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Reasonable requests or requirements of a student engaged in activities associated with physical education class or extracurricular athletics;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Actions consistent with and included in an individualized education program (IEP) developed under the Individuals with Disabilities Education Act, as reauthorized through February 7, 2024, Iowa Code chapter </w:t>
      </w:r>
      <w:hyperlink r:id="rId7">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and 281––</w:t>
      </w:r>
      <w:hyperlink r:id="rId8">
        <w:r>
          <w:rPr>
            <w:rStyle w:val="Hyperlink"/>
            <w:rFonts w:ascii="Times New Roman" w:hAnsi="Times New Roman"/>
            <w:b w:val="false"/>
            <w:i w:val="false"/>
            <w:color w:val="000000"/>
            <w:sz w:val="22"/>
          </w:rPr>
          <w:t>Chapter 41</w:t>
        </w:r>
      </w:hyperlink>
      <w:r>
        <w:rPr>
          <w:rFonts w:ascii="Times New Roman" w:hAnsi="Times New Roman"/>
          <w:b w:val="false"/>
          <w:i w:val="false"/>
          <w:color w:val="000000"/>
          <w:sz w:val="22"/>
        </w:rPr>
        <w:t>; a behavior intervention plan (BIP); an individual health plan (IHP); or a safety plan. However, under no circumstance may an IEP, BIP, IHP, or safety plan violate the provisions of this chapter;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Reasonable periods of detention, not in excess of school hours, or brief periods of detention before or after school, in a seat, classroom, or other part of a school facility;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Actions by an employee subject to these rules toward a person who is not a student of the school or receiving the services of a school employing or utilizing the services of the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281—103.5</w:t>
      </w:r>
      <w:r>
        <w:rPr>
          <w:rFonts w:ascii="Times New Roman" w:hAnsi="Times New Roman"/>
          <w:b/>
          <w:i w:val="false"/>
          <w:color w:val="000000"/>
          <w:sz w:val="22"/>
        </w:rPr>
        <w:t xml:space="preserve">(256B,280) </w:t>
      </w:r>
      <w:r>
        <w:rPr>
          <w:rFonts w:ascii="Times New Roman" w:hAnsi="Times New Roman"/>
          <w:b/>
          <w:i w:val="false"/>
          <w:color w:val="000000"/>
          <w:sz w:val="22"/>
        </w:rPr>
        <w:t xml:space="preserve">Use of reasonable and necessary force.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ban on corporal punishment in rule </w:t>
      </w:r>
      <w:hyperlink r:id="rId9">
        <w:r>
          <w:rPr>
            <w:rStyle w:val="Hyperlink"/>
            <w:rFonts w:ascii="Times New Roman" w:hAnsi="Times New Roman"/>
            <w:b w:val="false"/>
            <w:i w:val="false"/>
            <w:color w:val="000000"/>
            <w:sz w:val="22"/>
          </w:rPr>
          <w:t>281—103.3</w:t>
        </w:r>
      </w:hyperlink>
      <w:r>
        <w:rPr>
          <w:rFonts w:ascii="Times New Roman" w:hAnsi="Times New Roman"/>
          <w:b w:val="false"/>
          <w:i w:val="false"/>
          <w:color w:val="000000"/>
          <w:sz w:val="22"/>
        </w:rPr>
        <w:t>(256B,280), no employee subject to these rules is prohibited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Using reasonable and necessary force, not designed or intended to cause pain, in order to accomplish any of the purposes listed in Iowa Code section </w:t>
      </w:r>
      <w:hyperlink r:id="rId10">
        <w:r>
          <w:rPr>
            <w:rStyle w:val="Hyperlink"/>
            <w:rFonts w:ascii="Times New Roman" w:hAnsi="Times New Roman"/>
            <w:b w:val="false"/>
            <w:i w:val="false"/>
            <w:color w:val="000000"/>
            <w:sz w:val="22"/>
          </w:rPr>
          <w:t>280.21(2)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incidental, minor, or reasonable physical contact to maintain order and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An employee subject to these rules is not privileged to use unreasonable force to accomplish any of the purposes listed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281—103.6</w:t>
      </w:r>
      <w:r>
        <w:rPr>
          <w:rFonts w:ascii="Times New Roman" w:hAnsi="Times New Roman"/>
          <w:b/>
          <w:i w:val="false"/>
          <w:color w:val="000000"/>
          <w:sz w:val="22"/>
        </w:rPr>
        <w:t xml:space="preserve">(256B,280) </w:t>
      </w:r>
      <w:r>
        <w:rPr>
          <w:rFonts w:ascii="Times New Roman" w:hAnsi="Times New Roman"/>
          <w:b/>
          <w:i w:val="false"/>
          <w:color w:val="000000"/>
          <w:sz w:val="22"/>
        </w:rPr>
        <w:t xml:space="preserve">Reasonable force.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val="false"/>
          <w:color w:val="000000"/>
          <w:sz w:val="22"/>
        </w:rPr>
        <w:t>In determining the reasonableness of the physical force used by a school employee, the following factors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size and physical, mental, and psychological condition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nature of the student’s behavior or misconduct resulting in the use of physical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instrumentality used in applying the physical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and nature of resulting injury to the student, if any, including mental and psychological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motivation of the school employee using the physical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val="false"/>
          <w:color w:val="000000"/>
          <w:sz w:val="22"/>
        </w:rPr>
        <w:t>Reasonable physical force, privileged at its inception, does not lose its privileged status by reasons of an injury to the student, not reasonably foreseeable or otherwise caused by intervening acts of another, including the student.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281—103.7</w:t>
      </w:r>
      <w:r>
        <w:rPr>
          <w:rFonts w:ascii="Times New Roman" w:hAnsi="Times New Roman"/>
          <w:b/>
          <w:i w:val="false"/>
          <w:color w:val="000000"/>
          <w:sz w:val="22"/>
        </w:rPr>
        <w:t xml:space="preserve">(256B,280) </w:t>
      </w:r>
      <w:r>
        <w:rPr>
          <w:rFonts w:ascii="Times New Roman" w:hAnsi="Times New Roman"/>
          <w:b/>
          <w:i w:val="false"/>
          <w:color w:val="000000"/>
          <w:sz w:val="22"/>
        </w:rPr>
        <w:t xml:space="preserve">Reasonable and necessary force—use of physical restraint or seclusion.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w:t>
      </w:r>
      <w:r>
        <w:rPr>
          <w:rFonts w:ascii="Times New Roman" w:hAnsi="Times New Roman"/>
          <w:b w:val="false"/>
          <w:i w:val="false"/>
          <w:color w:val="000000"/>
          <w:sz w:val="22"/>
        </w:rPr>
        <w:t> </w:t>
      </w:r>
      <w:r>
        <w:rPr>
          <w:rFonts w:ascii="Times New Roman" w:hAnsi="Times New Roman"/>
          <w:b w:val="false"/>
          <w:i w:val="false"/>
          <w:color w:val="000000"/>
          <w:sz w:val="22"/>
        </w:rPr>
        <w:t>Physical restraint or seclusion is reasonable and necessary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prevent or terminate an imminent threat of bodily injury to the student or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prevent serious damage to property of significant monetary value or significant nonmonetary value or importance;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student’s actions seriously disrupt the learning environment or when physical restraint or seclusion is necessary to ensure the safety of the student and others;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less restrictive alternatives to seclusion or physical restraint would not be effective, would not be feasible under the circumstances, or have failed in preventing or terminating the imminent threat or behavior;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physical restraint or seclusion complies with all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103.7(2)</w:t>
      </w:r>
      <w:r>
        <w:rPr>
          <w:rFonts w:ascii="Times New Roman" w:hAnsi="Times New Roman"/>
          <w:b w:val="false"/>
          <w:i w:val="false"/>
          <w:color w:val="000000"/>
          <w:sz w:val="22"/>
        </w:rPr>
        <w:t> </w:t>
      </w:r>
      <w:r>
        <w:rPr>
          <w:rFonts w:ascii="Times New Roman" w:hAnsi="Times New Roman"/>
          <w:b w:val="false"/>
          <w:i w:val="false"/>
          <w:color w:val="000000"/>
          <w:sz w:val="22"/>
        </w:rPr>
        <w:t>If seclusion or physical restraint is utilized, the following provisions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seclusion or physical restraint must be imposed by an employee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trained in accordance with rule </w:t>
      </w:r>
      <w:hyperlink r:id="rId11">
        <w:r>
          <w:rPr>
            <w:rStyle w:val="Hyperlink"/>
            <w:rFonts w:ascii="Times New Roman" w:hAnsi="Times New Roman"/>
            <w:b w:val="false"/>
            <w:i w:val="false"/>
            <w:color w:val="000000"/>
            <w:sz w:val="22"/>
          </w:rPr>
          <w:t>281—103.8</w:t>
        </w:r>
      </w:hyperlink>
      <w:r>
        <w:rPr>
          <w:rFonts w:ascii="Times New Roman" w:hAnsi="Times New Roman"/>
          <w:b w:val="false"/>
          <w:i w:val="false"/>
          <w:color w:val="000000"/>
          <w:sz w:val="22"/>
        </w:rPr>
        <w:t>(256B,280);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otherwise available and a trained employee is not immediately available due to the unforeseeable nature of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school will attempt to notify the student’s parent using the school’s emergency contact system as soon as practicable after the situation is under control, but no later than one hour or the end of the school day,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seclusion or physical restraint must only be used for as long as is necessary, based on research and evidence, to allow the student to regain control of the student’s behavior to the point that the threat or behavior necessitating the use of the seclusion or physical restraint has ended, or when a medical condition occurs that puts the student at risk of harm.</w:t>
      </w:r>
    </w:p>
    <w:p>
      <w:pPr>
        <w:spacing w:before="0" w:after="0"/>
        <w:ind w:left="120"/>
        <w:jc w:val="both"/>
      </w:pPr>
      <w:r>
        <w:rPr>
          <w:rFonts w:ascii="Times New Roman" w:hAnsi="Times New Roman"/>
          <w:b w:val="false"/>
          <w:i w:val="false"/>
          <w:color w:val="000000"/>
          <w:sz w:val="22"/>
        </w:rPr>
        <w:t>Unless otherwise provided for in the student’s written, approved IEP, BIP, IHP, or safety plan, if the seclusion or physical restraint continues for more than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student shall be provided with any necessary breaks to attend to personal and bodily needs, unless doing so would endanger the child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shall obtain approval from an administrator or administrator’s designee to continue the seclusion or physical restraint beyond 15 minutes. After the initial approval, an employee must obtain additional approval every 30 minutes thereafter for the continuation of the seclusion or physical restraint. Approval will be documented in accordance with rule </w:t>
      </w:r>
      <w:hyperlink r:id="rId12">
        <w:r>
          <w:rPr>
            <w:rStyle w:val="Hyperlink"/>
            <w:rFonts w:ascii="Times New Roman" w:hAnsi="Times New Roman"/>
            <w:b w:val="false"/>
            <w:i w:val="false"/>
            <w:color w:val="000000"/>
            <w:sz w:val="22"/>
          </w:rPr>
          <w:t>281—103.8</w:t>
        </w:r>
      </w:hyperlink>
      <w:r>
        <w:rPr>
          <w:rFonts w:ascii="Times New Roman" w:hAnsi="Times New Roman"/>
          <w:b w:val="false"/>
          <w:i w:val="false"/>
          <w:color w:val="000000"/>
          <w:sz w:val="22"/>
        </w:rPr>
        <w:t>(256B,280).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student’s parent and the school may agree to more frequent notifications than is provided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Schools and employees will document and explain in writing, as provided by subrule </w:t>
      </w:r>
      <w:hyperlink r:id="rId13">
        <w:r>
          <w:rPr>
            <w:rStyle w:val="Hyperlink"/>
            <w:rFonts w:ascii="Times New Roman" w:hAnsi="Times New Roman"/>
            <w:b w:val="false"/>
            <w:i w:val="false"/>
            <w:color w:val="000000"/>
            <w:sz w:val="22"/>
          </w:rPr>
          <w:t>103.8(2)</w:t>
        </w:r>
      </w:hyperlink>
      <w:r>
        <w:rPr>
          <w:rFonts w:ascii="Times New Roman" w:hAnsi="Times New Roman"/>
          <w:b w:val="false"/>
          <w:i w:val="false"/>
          <w:color w:val="000000"/>
          <w:sz w:val="22"/>
        </w:rPr>
        <w:t xml:space="preserve">, the reasons why it was not possible for them to obtain approval, notify parents, or take action under paragraphs </w:t>
      </w:r>
      <w:hyperlink r:id="rId14">
        <w:r>
          <w:rPr>
            <w:rStyle w:val="Hyperlink"/>
            <w:rFonts w:ascii="Times New Roman" w:hAnsi="Times New Roman"/>
            <w:b w:val="false"/>
            <w:i w:val="false"/>
            <w:color w:val="000000"/>
            <w:sz w:val="22"/>
          </w:rPr>
          <w:t>103.7(2)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within the prescribed time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Schools and employees who initiate and then end the use of nonapproved restraints must document and explain in writing the reasons why they had no other option but to use this type of behavioral intervention. This subparagraph is not intended to excuse or condone the use of nonapproved restraints.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area of seclusion shall be a designated seclusion room that complies with the seclusion room requirements of rule </w:t>
      </w:r>
      <w:hyperlink r:id="rId15">
        <w:r>
          <w:rPr>
            <w:rStyle w:val="Hyperlink"/>
            <w:rFonts w:ascii="Times New Roman" w:hAnsi="Times New Roman"/>
            <w:b w:val="false"/>
            <w:i w:val="false"/>
            <w:color w:val="000000"/>
            <w:sz w:val="22"/>
          </w:rPr>
          <w:t>281—103.9</w:t>
        </w:r>
      </w:hyperlink>
      <w:r>
        <w:rPr>
          <w:rFonts w:ascii="Times New Roman" w:hAnsi="Times New Roman"/>
          <w:b w:val="false"/>
          <w:i w:val="false"/>
          <w:color w:val="000000"/>
          <w:sz w:val="22"/>
        </w:rPr>
        <w:t>(256B,280), unless the nature of the occurrence makes the use of the designated seclusion room impossible, clearly impractical, or clearly contrary to the safety of the student, others, or both; in that event, the school must document and explain in writing the reasons why a designated seclusion room was not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employee must continually visually monitor the student for the duration of the seclusion or physical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employee shall not use any physical restraint that obstructs the airway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an employee restrains a student who uses sign language or an augmentative mode of communication as the student’s primary mode of communication, the student shall be permitted to have the student’s hands free of physical restraint, unless doing so is not feasible in view of the threat 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Seclusion or physical restraint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 punishment 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force compliance or to retaliate;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 a substitute for appropriate educational or behavioral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To prevent property damage except as described in paragraph </w:t>
      </w:r>
      <w:hyperlink r:id="rId16">
        <w:r>
          <w:rPr>
            <w:rStyle w:val="Hyperlink"/>
            <w:rFonts w:ascii="Times New Roman" w:hAnsi="Times New Roman"/>
            <w:b w:val="false"/>
            <w:i w:val="false"/>
            <w:color w:val="000000"/>
            <w:sz w:val="22"/>
          </w:rPr>
          <w:t>103.7(1)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 a routine school safety measure;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 a convenience to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must document the use of the seclusion or physical restraint in accordance with rule </w:t>
      </w:r>
      <w:hyperlink r:id="rId17">
        <w:r>
          <w:rPr>
            <w:rStyle w:val="Hyperlink"/>
            <w:rFonts w:ascii="Times New Roman" w:hAnsi="Times New Roman"/>
            <w:b w:val="false"/>
            <w:i w:val="false"/>
            <w:color w:val="000000"/>
            <w:sz w:val="22"/>
          </w:rPr>
          <w:t>281—103.8</w:t>
        </w:r>
      </w:hyperlink>
      <w:r>
        <w:rPr>
          <w:rFonts w:ascii="Times New Roman" w:hAnsi="Times New Roman"/>
          <w:b w:val="false"/>
          <w:i w:val="false"/>
          <w:color w:val="000000"/>
          <w:sz w:val="22"/>
        </w:rPr>
        <w:t>(256B,280).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will be construed as limiting or eliminating any immunity conferred by Iowa Code section </w:t>
      </w:r>
      <w:hyperlink r:id="rId18">
        <w:r>
          <w:rPr>
            <w:rStyle w:val="Hyperlink"/>
            <w:rFonts w:ascii="Times New Roman" w:hAnsi="Times New Roman"/>
            <w:b w:val="false"/>
            <w:i w:val="false"/>
            <w:color w:val="000000"/>
            <w:sz w:val="22"/>
          </w:rPr>
          <w:t>280.21</w:t>
        </w:r>
      </w:hyperlink>
      <w:r>
        <w:rPr>
          <w:rFonts w:ascii="Times New Roman" w:hAnsi="Times New Roman"/>
          <w:b w:val="false"/>
          <w:i w:val="false"/>
          <w:color w:val="000000"/>
          <w:sz w:val="22"/>
        </w:rPr>
        <w:t xml:space="preserve">, rule </w:t>
      </w:r>
      <w:hyperlink r:id="rId19">
        <w:r>
          <w:rPr>
            <w:rStyle w:val="Hyperlink"/>
            <w:rFonts w:ascii="Times New Roman" w:hAnsi="Times New Roman"/>
            <w:b w:val="false"/>
            <w:i w:val="false"/>
            <w:color w:val="000000"/>
            <w:sz w:val="22"/>
          </w:rPr>
          <w:t>281—103.11</w:t>
        </w:r>
      </w:hyperlink>
      <w:r>
        <w:rPr>
          <w:rFonts w:ascii="Times New Roman" w:hAnsi="Times New Roman"/>
          <w:b w:val="false"/>
          <w:i w:val="false"/>
          <w:color w:val="000000"/>
          <w:sz w:val="22"/>
        </w:rPr>
        <w:t>(256B,280),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103.7(5)</w:t>
      </w:r>
      <w:r>
        <w:rPr>
          <w:rFonts w:ascii="Times New Roman" w:hAnsi="Times New Roman"/>
          <w:b w:val="false"/>
          <w:i w:val="false"/>
          <w:color w:val="000000"/>
          <w:sz w:val="22"/>
        </w:rPr>
        <w:t> </w:t>
      </w:r>
      <w:r>
        <w:rPr>
          <w:rFonts w:ascii="Times New Roman" w:hAnsi="Times New Roman"/>
          <w:b w:val="false"/>
          <w:i w:val="false"/>
          <w:color w:val="000000"/>
          <w:sz w:val="22"/>
        </w:rPr>
        <w:t>An agency covered by this chapter will investigate any complaint or allegation that one or more of its employees violated one or more provisions of this chapter. If an agency covered by this chapter determines that one or more of its employees violated one or more of the provisions of this chapter, the agency will take appropriate corrective action. If any allegation involves a specific student, the agency will transmit to the parents of the student the results of its investigation, including, to the extent permitted by law, any ordered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103.7(6)</w:t>
      </w:r>
      <w:r>
        <w:rPr>
          <w:rFonts w:ascii="Times New Roman" w:hAnsi="Times New Roman"/>
          <w:b w:val="false"/>
          <w:i w:val="false"/>
          <w:color w:val="000000"/>
          <w:sz w:val="22"/>
        </w:rPr>
        <w:t> </w:t>
      </w:r>
      <w:r>
        <w:rPr>
          <w:rFonts w:ascii="Times New Roman" w:hAnsi="Times New Roman"/>
          <w:b w:val="false"/>
          <w:i w:val="false"/>
          <w:color w:val="000000"/>
          <w:sz w:val="22"/>
        </w:rPr>
        <w:t>If a child’s IEP, BIP, IHP, or safety plan includes either or both physical restraint or seclusion measures, those measures will be individualized to the child; described with specificity in the child’s IEP, BIP, IHP, or safety plan; and be reasonably calculated to enable the child to make progress appropriate in light of the child’s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103.7(7)</w:t>
      </w:r>
      <w:r>
        <w:rPr>
          <w:rFonts w:ascii="Times New Roman" w:hAnsi="Times New Roman"/>
          <w:b w:val="false"/>
          <w:i w:val="false"/>
          <w:color w:val="000000"/>
          <w:sz w:val="22"/>
        </w:rPr>
        <w:t> </w:t>
      </w:r>
      <w:r>
        <w:rPr>
          <w:rFonts w:ascii="Times New Roman" w:hAnsi="Times New Roman"/>
          <w:b w:val="false"/>
          <w:i w:val="false"/>
          <w:color w:val="000000"/>
          <w:sz w:val="22"/>
        </w:rPr>
        <w:t>These rules are binding whether or not a parent consents to the use of physical restraint or seclusion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103.7(8)</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alleged violation of this chapter is also an allegation of “abuse” as defined in rule </w:t>
      </w:r>
      <w:hyperlink r:id="rId20">
        <w:r>
          <w:rPr>
            <w:rStyle w:val="Hyperlink"/>
            <w:rFonts w:ascii="Times New Roman" w:hAnsi="Times New Roman"/>
            <w:b w:val="false"/>
            <w:i w:val="false"/>
            <w:color w:val="000000"/>
            <w:sz w:val="22"/>
          </w:rPr>
          <w:t>281—102.2</w:t>
        </w:r>
      </w:hyperlink>
      <w:r>
        <w:rPr>
          <w:rFonts w:ascii="Times New Roman" w:hAnsi="Times New Roman"/>
          <w:b w:val="false"/>
          <w:i w:val="false"/>
          <w:color w:val="000000"/>
          <w:sz w:val="22"/>
        </w:rPr>
        <w:t xml:space="preserve">(280), the procedures in </w:t>
      </w:r>
      <w:hyperlink r:id="rId21">
        <w:r>
          <w:rPr>
            <w:rStyle w:val="Hyperlink"/>
            <w:rFonts w:ascii="Times New Roman" w:hAnsi="Times New Roman"/>
            <w:b w:val="false"/>
            <w:i w:val="false"/>
            <w:color w:val="000000"/>
            <w:sz w:val="22"/>
          </w:rPr>
          <w:t>281—Chapter 102</w:t>
        </w:r>
      </w:hyperlink>
      <w:r>
        <w:rPr>
          <w:rFonts w:ascii="Times New Roman" w:hAnsi="Times New Roman"/>
          <w:b w:val="false"/>
          <w:i w:val="false"/>
          <w:color w:val="000000"/>
          <w:sz w:val="22"/>
        </w:rPr>
        <w:t xml:space="preserve">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103.7(9)</w:t>
      </w:r>
      <w:r>
        <w:rPr>
          <w:rFonts w:ascii="Times New Roman" w:hAnsi="Times New Roman"/>
          <w:b w:val="false"/>
          <w:i w:val="false"/>
          <w:color w:val="000000"/>
          <w:sz w:val="22"/>
        </w:rPr>
        <w:t> </w:t>
      </w:r>
      <w:r>
        <w:rPr>
          <w:rFonts w:ascii="Times New Roman" w:hAnsi="Times New Roman"/>
          <w:b w:val="false"/>
          <w:i w:val="false"/>
          <w:color w:val="000000"/>
          <w:sz w:val="22"/>
        </w:rPr>
        <w:t>Schools must provide a copy of this chapter and any school-adopted or school-used related policies, procedures and training materials to any individual who is not an employee but whose duties could require the individual to participate in or be present when physical restraints are or seclusion is being used. Schools must invite these individuals to participate in training offered to employees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section </w:t>
      </w:r>
      <w:hyperlink r:id="rId22">
        <w:r>
          <w:rPr>
            <w:rStyle w:val="Hyperlink"/>
            <w:rFonts w:ascii="Times New Roman" w:hAnsi="Times New Roman"/>
            <w:b w:val="false"/>
            <w:i w:val="false"/>
            <w:color w:val="000000"/>
            <w:sz w:val="22"/>
          </w:rPr>
          <w:t>280.21(3)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280.21(4)</w:t>
        </w:r>
      </w:hyperlink>
      <w:r>
        <w:rPr>
          <w:rFonts w:ascii="Times New Roman" w:hAnsi="Times New Roman"/>
          <w:b w:val="false"/>
          <w:i w:val="false"/>
          <w:color w:val="000000"/>
          <w:sz w:val="22"/>
        </w:rPr>
        <w:t xml:space="preserve"> apply to proceedings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281—103.8</w:t>
      </w:r>
      <w:r>
        <w:rPr>
          <w:rFonts w:ascii="Times New Roman" w:hAnsi="Times New Roman"/>
          <w:b/>
          <w:i w:val="false"/>
          <w:color w:val="000000"/>
          <w:sz w:val="22"/>
        </w:rPr>
        <w:t xml:space="preserve">(256B,280) </w:t>
      </w:r>
      <w:r>
        <w:rPr>
          <w:rFonts w:ascii="Times New Roman" w:hAnsi="Times New Roman"/>
          <w:b/>
          <w:i w:val="false"/>
          <w:color w:val="000000"/>
          <w:sz w:val="22"/>
        </w:rPr>
        <w:t xml:space="preserve">Training, documentation, debriefing,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An employee must receive training prior to using any form of physical restraint or seclusion. Training will cover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school’s specific policies and procedures regarding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Student and staff debriefing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Positive behavior interventions and supports, and evidence-based approaches to student discipline and classroom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Research-based alternatives to physical restraint and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Crisis prevention, crisis intervention, and crisis de-escalation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Duties and responsibilities of school resource officers and other responders, and the techniques, strategies and procedures used by responders;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Safe and effective use of physical restraint and seclusion.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w:t>
      </w:r>
      <w:r>
        <w:rPr>
          <w:rFonts w:ascii="Times New Roman" w:hAnsi="Times New Roman"/>
          <w:b w:val="false"/>
          <w:i w:val="false"/>
          <w:color w:val="000000"/>
          <w:sz w:val="22"/>
        </w:rPr>
        <w:t> </w:t>
      </w:r>
      <w:r>
        <w:rPr>
          <w:rFonts w:ascii="Times New Roman" w:hAnsi="Times New Roman"/>
          <w:b w:val="false"/>
          <w:i/>
          <w:color w:val="000000"/>
          <w:sz w:val="22"/>
        </w:rPr>
        <w:t xml:space="preserve">Documentation and reporting. </w:t>
      </w:r>
      <w:r>
        <w:rPr>
          <w:rFonts w:ascii="Times New Roman" w:hAnsi="Times New Roman"/>
          <w:b w:val="false"/>
          <w:i w:val="false"/>
          <w:color w:val="000000"/>
          <w:sz w:val="22"/>
        </w:rPr>
        <w:t>Schools must maintain documentation for each occurrence of physical restraint and seclusion. Documentation will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job titles of employees who observed, implemented, or were involved in administering or monitoring the use of seclusion or physical restraints, including the administrator or individual who approved continuation of the seclusion or physical restraint pursuant to subparagraph </w:t>
      </w:r>
      <w:hyperlink r:id="rId24">
        <w:r>
          <w:rPr>
            <w:rStyle w:val="Hyperlink"/>
            <w:rFonts w:ascii="Times New Roman" w:hAnsi="Times New Roman"/>
            <w:b w:val="false"/>
            <w:i w:val="false"/>
            <w:color w:val="000000"/>
            <w:sz w:val="22"/>
          </w:rPr>
          <w:t>103.7(2)</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times of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employees who observed, implemented, or were involved in administering or monitoring the use of seclusion or physical restraints last completed training necessary under subrule </w:t>
      </w:r>
      <w:hyperlink r:id="rId25">
        <w:r>
          <w:rPr>
            <w:rStyle w:val="Hyperlink"/>
            <w:rFonts w:ascii="Times New Roman" w:hAnsi="Times New Roman"/>
            <w:b w:val="false"/>
            <w:i w:val="false"/>
            <w:color w:val="000000"/>
            <w:sz w:val="22"/>
          </w:rPr>
          <w:t>103.8(1)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actions of the student before, during, and after the seclusion or physical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actions of the employee(s) involved before, during, and after the seclusion or physical restraint, including the use of a nonapproved restraint (subparagraph </w:t>
      </w:r>
      <w:hyperlink r:id="rId26">
        <w:r>
          <w:rPr>
            <w:rStyle w:val="Hyperlink"/>
            <w:rFonts w:ascii="Times New Roman" w:hAnsi="Times New Roman"/>
            <w:b w:val="false"/>
            <w:i w:val="false"/>
            <w:color w:val="000000"/>
            <w:sz w:val="22"/>
          </w:rPr>
          <w:t>103.7(2)</w:t>
        </w:r>
      </w:hyperlink>
      <w:r>
        <w:rPr>
          <w:rFonts w:ascii="Times New Roman" w:hAnsi="Times New Roman"/>
          <w:b w:val="false"/>
          <w:i/>
          <w:color w:val="000000"/>
          <w:sz w:val="22"/>
        </w:rPr>
        <w:t>“c”</w:t>
      </w:r>
      <w:r>
        <w:rPr>
          <w:rFonts w:ascii="Times New Roman" w:hAnsi="Times New Roman"/>
          <w:b w:val="false"/>
          <w:i w:val="false"/>
          <w:color w:val="000000"/>
          <w:sz w:val="22"/>
        </w:rPr>
        <w:t xml:space="preserve">(5)) or the use of other than a designated seclusion room (paragraph </w:t>
      </w:r>
      <w:hyperlink r:id="rId27">
        <w:r>
          <w:rPr>
            <w:rStyle w:val="Hyperlink"/>
            <w:rFonts w:ascii="Times New Roman" w:hAnsi="Times New Roman"/>
            <w:b w:val="false"/>
            <w:i w:val="false"/>
            <w:color w:val="000000"/>
            <w:sz w:val="22"/>
          </w:rPr>
          <w:t>103.7(2)</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approvals for continuation of the seclusion or physical restraint period generated in accordance with subrule </w:t>
      </w:r>
      <w:hyperlink r:id="rId28">
        <w:r>
          <w:rPr>
            <w:rStyle w:val="Hyperlink"/>
            <w:rFonts w:ascii="Times New Roman" w:hAnsi="Times New Roman"/>
            <w:b w:val="false"/>
            <w:i w:val="false"/>
            <w:color w:val="000000"/>
            <w:sz w:val="22"/>
          </w:rPr>
          <w:t>103.7(2)</w:t>
        </w:r>
      </w:hyperlink>
      <w:r>
        <w:rPr>
          <w:rFonts w:ascii="Times New Roman" w:hAnsi="Times New Roman"/>
          <w:b w:val="false"/>
          <w:i w:val="false"/>
          <w:color w:val="000000"/>
          <w:sz w:val="22"/>
        </w:rPr>
        <w:t>, including why it was not possible to obtain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description of the less restrictive means attempted as alternatives to seclusion or physical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any injuries, whether to the student or others, and any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description of future approaches to address the student’s behavior, including any consequences or disciplinary actions that may be imposed on the student;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and manner by which the school notified the student’s parent of the use of physical restraint or seclusion, including why it was not possible to attempt to give notice within the time specified by paragraph </w:t>
      </w:r>
      <w:hyperlink r:id="rId29">
        <w:r>
          <w:rPr>
            <w:rStyle w:val="Hyperlink"/>
            <w:rFonts w:ascii="Times New Roman" w:hAnsi="Times New Roman"/>
            <w:b w:val="false"/>
            <w:i w:val="false"/>
            <w:color w:val="000000"/>
            <w:sz w:val="22"/>
          </w:rPr>
          <w:t>103.7(2)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Schools must provide the student’s parent with a written copy of the report by the end of the third school day following the occurrence. The report will be accompanied by a letter inviting the parent to participate in a debriefing meeting, if necessary under subrule </w:t>
      </w:r>
      <w:hyperlink r:id="rId30">
        <w:r>
          <w:rPr>
            <w:rStyle w:val="Hyperlink"/>
            <w:rFonts w:ascii="Times New Roman" w:hAnsi="Times New Roman"/>
            <w:b w:val="false"/>
            <w:i w:val="false"/>
            <w:color w:val="000000"/>
            <w:sz w:val="22"/>
          </w:rPr>
          <w:t>103.8(3)</w:t>
        </w:r>
      </w:hyperlink>
      <w:r>
        <w:rPr>
          <w:rFonts w:ascii="Times New Roman" w:hAnsi="Times New Roman"/>
          <w:b w:val="false"/>
          <w:i w:val="false"/>
          <w:color w:val="000000"/>
          <w:sz w:val="22"/>
        </w:rPr>
        <w:t>, to be held within five school days of the day the report and letter are mailed to or provided to the parent. The letter will include the date, time and place of the meeting and the names and titles of employees and other individuals who will attend the meeting. The parent may elect to receive the report and the letter via electronic mail or facsimile or by obtaining a copy at the school. If the parent does not provide instructions to the school or enter into an agreement with the school for alternate dates and methods of delivery, the school must mail the letter and report to the parent by first-class mail, postage prepaid, postmarked by end of the third school day after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103.8(3)</w:t>
      </w:r>
      <w:r>
        <w:rPr>
          <w:rFonts w:ascii="Times New Roman" w:hAnsi="Times New Roman"/>
          <w:b w:val="false"/>
          <w:i w:val="false"/>
          <w:color w:val="000000"/>
          <w:sz w:val="22"/>
        </w:rPr>
        <w:t> </w:t>
      </w:r>
      <w:r>
        <w:rPr>
          <w:rFonts w:ascii="Times New Roman" w:hAnsi="Times New Roman"/>
          <w:b w:val="false"/>
          <w:i/>
          <w:color w:val="000000"/>
          <w:sz w:val="22"/>
        </w:rPr>
        <w:t xml:space="preserve">Debriefing.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Schools must hold a debriefing meeting as soon as practicable whenever provided by paragraph </w:t>
      </w:r>
      <w:hyperlink r:id="rId31">
        <w:r>
          <w:rPr>
            <w:rStyle w:val="Hyperlink"/>
            <w:rFonts w:ascii="Times New Roman" w:hAnsi="Times New Roman"/>
            <w:b w:val="false"/>
            <w:i w:val="false"/>
            <w:color w:val="000000"/>
            <w:sz w:val="22"/>
          </w:rPr>
          <w:t>103.8(3)</w:t>
        </w:r>
      </w:hyperlink>
      <w:r>
        <w:rPr>
          <w:rFonts w:ascii="Times New Roman" w:hAnsi="Times New Roman"/>
          <w:b w:val="false"/>
          <w:i/>
          <w:color w:val="000000"/>
          <w:sz w:val="22"/>
        </w:rPr>
        <w:t>“f,”</w:t>
      </w:r>
      <w:r>
        <w:rPr>
          <w:rFonts w:ascii="Times New Roman" w:hAnsi="Times New Roman"/>
          <w:b w:val="false"/>
          <w:i w:val="false"/>
          <w:color w:val="000000"/>
          <w:sz w:val="22"/>
        </w:rPr>
        <w:t xml:space="preserve"> but within five school days of the day the report and letter are mailed or provided to the parent, unless a parent who wants to participate personally or through a representative asks for an extension of time, or the parent and school agree to an alternate date and time. The student may attend the meeting with the parent’s consent. The parent may elect to be accompanied by other individuals or representatives. The meeting must include employees who administered the physical restraint or seclusion, an administrator or employee who was not involved in the occurrence, the individual or administrator who approved continuation of the physical restraint or seclusion, other relevant personnel designated by the school (such as principal, counselor, classroom teacher, special education teacher), and, if indicated by the student’s behavior in the instances prompting the debriefing, an expert in behavioral health, mental health, or another appropriate discipline. The meeting, and the debriefing report that is to be provided to the parent after the meeting, will include the following information and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and location of the meeting, and the names and titles of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documentation and report completed in compliance with subrule </w:t>
      </w:r>
      <w:hyperlink r:id="rId32">
        <w:r>
          <w:rPr>
            <w:rStyle w:val="Hyperlink"/>
            <w:rFonts w:ascii="Times New Roman" w:hAnsi="Times New Roman"/>
            <w:b w:val="false"/>
            <w:i w:val="false"/>
            <w:color w:val="000000"/>
            <w:sz w:val="22"/>
          </w:rPr>
          <w:t>103.8(2)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review of the student’s BIP, IHP, safety plan, and IEP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patterns of behavior and proportionate response, if any, in the student and the employees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Determination of possible alternative responses to the incident/less restrictive means,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Identification of additional resources that could facilitate those alternative responses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Planning for follow-up actions, such as behavior assessments, revisions of school intervention plans, medical consultations, and reintroduction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Schools must complete the debriefing report and provide a copy of the report to the parent of the student within three school days of the debriefing meeting. The parent may elect to receive the report via electronic mail, or facsimile, or by obtaining a copy at the school. If the parent does not provide instructions to the school or enter into an agreement with the school for alternate dates and methods of delivery, the school must mail the debriefing report to the parent by first-class mail, postage prepaid, postmarked no later than three school days after the debriefing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debriefing session results in a recommendation that a child might be eligible for a BIP, IHP, safety plan, or IEP, the public agencies will promptly determine the child’s eligibility in accordance with the procedures for determining eligibility, including rules contained in </w:t>
      </w:r>
      <w:hyperlink r:id="rId33">
        <w:r>
          <w:rPr>
            <w:rStyle w:val="Hyperlink"/>
            <w:rFonts w:ascii="Times New Roman" w:hAnsi="Times New Roman"/>
            <w:b w:val="false"/>
            <w:i w:val="false"/>
            <w:color w:val="000000"/>
            <w:sz w:val="22"/>
          </w:rPr>
          <w:t>281—Chapter 14</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recommended change to a student’s BIP, IHP, safety plan, or IEP, or a student’s educational placement, will be made in accordance with the procedures for amending said plan or changing said placement, including rules contained in </w:t>
      </w:r>
      <w:hyperlink r:id="rId35">
        <w:r>
          <w:rPr>
            <w:rStyle w:val="Hyperlink"/>
            <w:rFonts w:ascii="Times New Roman" w:hAnsi="Times New Roman"/>
            <w:b w:val="false"/>
            <w:i w:val="false"/>
            <w:color w:val="000000"/>
            <w:sz w:val="22"/>
          </w:rPr>
          <w:t>281—Chapter 14</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subrule will be construed to require employers to include information about employees that would be legally protected personnel information, including employee disciplinary information under Iowa Code chapters </w:t>
      </w:r>
      <w:hyperlink r:id="rId37">
        <w:r>
          <w:rPr>
            <w:rStyle w:val="Hyperlink"/>
            <w:rFonts w:ascii="Times New Roman" w:hAnsi="Times New Roman"/>
            <w:b w:val="false"/>
            <w:i w:val="false"/>
            <w:color w:val="000000"/>
            <w:sz w:val="22"/>
          </w:rPr>
          <w:t>279</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284</w:t>
        </w:r>
      </w:hyperlink>
      <w:r>
        <w:rPr>
          <w:rFonts w:ascii="Times New Roman" w:hAnsi="Times New Roman"/>
          <w:b w:val="false"/>
          <w:i w:val="false"/>
          <w:color w:val="000000"/>
          <w:sz w:val="22"/>
        </w:rPr>
        <w:t>, or to allow discussion of that personnel information, in debriefing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 debriefing session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the first instance of seclusion or physical restraint during a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Whenever any personal injury occurs as a part of the use of seclusion or physical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Whenever a reasonable educator would determine a debriefing session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Whenever suggested by a student’s IEP team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Whenever agreed by the parent and the school officials.</w:t>
      </w:r>
    </w:p>
    <w:p>
      <w:pPr>
        <w:spacing w:before="0" w:after="0"/>
        <w:ind w:left="120"/>
        <w:jc w:val="both"/>
      </w:pPr>
      <w:r>
        <w:rPr>
          <w:rFonts w:ascii="Times New Roman" w:hAnsi="Times New Roman"/>
          <w:b w:val="false"/>
          <w:i w:val="false"/>
          <w:color w:val="000000"/>
          <w:sz w:val="22"/>
        </w:rPr>
        <w:t>However, in any case a debriefing session will occur after seven instances of seclusion or physical restraint. Nothing in this paragraph will be construed to prevent a school from offering more debriefing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Schools are governed by the Family Educational Rights and Privacy Act (FERPA) (20 U.S.C. §1232g; 34 CFR Part 99, both as effective on February 7, 2024); Iowa Code chapter </w:t>
      </w:r>
      <w:hyperlink r:id="rId3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“Examination of Public Records (Open Records)”; and other applicable federal and state laws, when taking action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103.8(5)</w:t>
      </w:r>
      <w:r>
        <w:rPr>
          <w:rFonts w:ascii="Times New Roman" w:hAnsi="Times New Roman"/>
          <w:b w:val="false"/>
          <w:i w:val="false"/>
          <w:color w:val="000000"/>
          <w:sz w:val="22"/>
        </w:rPr>
        <w:t> </w:t>
      </w:r>
      <w:r>
        <w:rPr>
          <w:rFonts w:ascii="Times New Roman" w:hAnsi="Times New Roman"/>
          <w:b w:val="false"/>
          <w:i/>
          <w:color w:val="000000"/>
          <w:sz w:val="22"/>
        </w:rPr>
        <w:t xml:space="preserve">Reporting to department. </w:t>
      </w:r>
      <w:r>
        <w:rPr>
          <w:rFonts w:ascii="Times New Roman" w:hAnsi="Times New Roman"/>
          <w:b w:val="false"/>
          <w:i w:val="false"/>
          <w:color w:val="000000"/>
          <w:sz w:val="22"/>
        </w:rPr>
        <w:t>Schools will report to the Iowa department of education, in a manner prescribed by the department, an annual count of all instances of seclusion or restraint, an annual count of the number of students who were subjected to seclusion or restraint, and any other data required for the department to implement the Elementary and Secondary Education Act, as amended by the Every Student Succeeds Act, Public Law 114-95, as of February 7,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281—103.9</w:t>
      </w:r>
      <w:r>
        <w:rPr>
          <w:rFonts w:ascii="Times New Roman" w:hAnsi="Times New Roman"/>
          <w:b/>
          <w:i w:val="false"/>
          <w:color w:val="000000"/>
          <w:sz w:val="22"/>
        </w:rPr>
        <w:t xml:space="preserve">(256B,280) </w:t>
      </w:r>
      <w:r>
        <w:rPr>
          <w:rFonts w:ascii="Times New Roman" w:hAnsi="Times New Roman"/>
          <w:b/>
          <w:i w:val="false"/>
          <w:color w:val="000000"/>
          <w:sz w:val="22"/>
        </w:rPr>
        <w:t xml:space="preserve">Seclusion room requirements. </w:t>
      </w:r>
      <w:r>
        <w:rPr>
          <w:rFonts w:ascii="Times New Roman" w:hAnsi="Times New Roman"/>
          <w:b w:val="false"/>
          <w:i w:val="false"/>
          <w:color w:val="000000"/>
          <w:sz w:val="22"/>
        </w:rPr>
        <w:t>Schools must meet the following standards for the structural and physical requirements for rooms used for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w:t>
      </w:r>
      <w:r>
        <w:rPr>
          <w:rFonts w:ascii="Times New Roman" w:hAnsi="Times New Roman"/>
          <w:b w:val="false"/>
          <w:i w:val="false"/>
          <w:color w:val="000000"/>
          <w:sz w:val="22"/>
        </w:rPr>
        <w:t> </w:t>
      </w:r>
      <w:r>
        <w:rPr>
          <w:rFonts w:ascii="Times New Roman" w:hAnsi="Times New Roman"/>
          <w:b w:val="false"/>
          <w:i w:val="false"/>
          <w:color w:val="000000"/>
          <w:sz w:val="22"/>
        </w:rPr>
        <w:t>The room meets and complies with all applicable building, fire, safety, and health codes and standards and with the other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w:t>
      </w:r>
      <w:r>
        <w:rPr>
          <w:rFonts w:ascii="Times New Roman" w:hAnsi="Times New Roman"/>
          <w:b w:val="false"/>
          <w:i w:val="false"/>
          <w:color w:val="000000"/>
          <w:sz w:val="22"/>
        </w:rPr>
        <w:t> </w:t>
      </w:r>
      <w:r>
        <w:rPr>
          <w:rFonts w:ascii="Times New Roman" w:hAnsi="Times New Roman"/>
          <w:b w:val="false"/>
          <w:i w:val="false"/>
          <w:color w:val="000000"/>
          <w:sz w:val="22"/>
        </w:rPr>
        <w:t>The dimensions of the room are of adequate width, length, and height to allow the student to move about and recline safely and comfortably, considering the age, size, and physical and mental condition of the student being secluded. The interior of the room is to be no less than 56 square feet, and the distance between opposing walls is to be no less than 7 feet across.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103.9(3)</w:t>
      </w:r>
      <w:r>
        <w:rPr>
          <w:rFonts w:ascii="Times New Roman" w:hAnsi="Times New Roman"/>
          <w:b w:val="false"/>
          <w:i w:val="false"/>
          <w:color w:val="000000"/>
          <w:sz w:val="22"/>
        </w:rPr>
        <w:t> </w:t>
      </w:r>
      <w:r>
        <w:rPr>
          <w:rFonts w:ascii="Times New Roman" w:hAnsi="Times New Roman"/>
          <w:b w:val="false"/>
          <w:i w:val="false"/>
          <w:color w:val="000000"/>
          <w:sz w:val="22"/>
        </w:rPr>
        <w:t>The room is not isolated from school employees 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103.9(4)</w:t>
      </w:r>
      <w:r>
        <w:rPr>
          <w:rFonts w:ascii="Times New Roman" w:hAnsi="Times New Roman"/>
          <w:b w:val="false"/>
          <w:i w:val="false"/>
          <w:color w:val="000000"/>
          <w:sz w:val="22"/>
        </w:rPr>
        <w:t> </w:t>
      </w:r>
      <w:r>
        <w:rPr>
          <w:rFonts w:ascii="Times New Roman" w:hAnsi="Times New Roman"/>
          <w:b w:val="false"/>
          <w:i w:val="false"/>
          <w:color w:val="000000"/>
          <w:sz w:val="22"/>
        </w:rPr>
        <w:t>Any wall that is part of the room is part of the structural integrity of the room (not free-standing cells or portable units attached to the existing wall or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103.9(5)</w:t>
      </w:r>
      <w:r>
        <w:rPr>
          <w:rFonts w:ascii="Times New Roman" w:hAnsi="Times New Roman"/>
          <w:b w:val="false"/>
          <w:i w:val="false"/>
          <w:color w:val="000000"/>
          <w:sz w:val="22"/>
        </w:rPr>
        <w:t> </w:t>
      </w:r>
      <w:r>
        <w:rPr>
          <w:rFonts w:ascii="Times New Roman" w:hAnsi="Times New Roman"/>
          <w:b w:val="false"/>
          <w:i w:val="false"/>
          <w:color w:val="000000"/>
          <w:sz w:val="22"/>
        </w:rPr>
        <w:t>The room provides a means of continuous visual and auditory monitoring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w:t>
      </w:r>
      <w:r>
        <w:rPr>
          <w:rFonts w:ascii="Times New Roman" w:hAnsi="Times New Roman"/>
          <w:b w:val="false"/>
          <w:i w:val="false"/>
          <w:color w:val="000000"/>
          <w:sz w:val="22"/>
        </w:rPr>
        <w:t> </w:t>
      </w:r>
      <w:r>
        <w:rPr>
          <w:rFonts w:ascii="Times New Roman" w:hAnsi="Times New Roman"/>
          <w:b w:val="false"/>
          <w:i w:val="false"/>
          <w:color w:val="000000"/>
          <w:sz w:val="22"/>
        </w:rPr>
        <w:t>The room is adequately lighted with switches to control lighting located outside the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103.9(7)</w:t>
      </w:r>
      <w:r>
        <w:rPr>
          <w:rFonts w:ascii="Times New Roman" w:hAnsi="Times New Roman"/>
          <w:b w:val="false"/>
          <w:i w:val="false"/>
          <w:color w:val="000000"/>
          <w:sz w:val="22"/>
        </w:rPr>
        <w:t> </w:t>
      </w:r>
      <w:r>
        <w:rPr>
          <w:rFonts w:ascii="Times New Roman" w:hAnsi="Times New Roman"/>
          <w:b w:val="false"/>
          <w:i w:val="false"/>
          <w:color w:val="000000"/>
          <w:sz w:val="22"/>
        </w:rPr>
        <w:t>The room is adequately ventilated with switches to control fans or other ventilation devices located outside the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w:t>
      </w:r>
      <w:r>
        <w:rPr>
          <w:rFonts w:ascii="Times New Roman" w:hAnsi="Times New Roman"/>
          <w:b w:val="false"/>
          <w:i w:val="false"/>
          <w:color w:val="000000"/>
          <w:sz w:val="22"/>
        </w:rPr>
        <w:t> </w:t>
      </w:r>
      <w:r>
        <w:rPr>
          <w:rFonts w:ascii="Times New Roman" w:hAnsi="Times New Roman"/>
          <w:b w:val="false"/>
          <w:i w:val="false"/>
          <w:color w:val="000000"/>
          <w:sz w:val="22"/>
        </w:rPr>
        <w:t>The room maintains a temperature within the normal human comfort range and consistent with the rest of the building with temperature controls located outside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103.9(9)</w:t>
      </w:r>
      <w:r>
        <w:rPr>
          <w:rFonts w:ascii="Times New Roman" w:hAnsi="Times New Roman"/>
          <w:b w:val="false"/>
          <w:i w:val="false"/>
          <w:color w:val="000000"/>
          <w:sz w:val="22"/>
        </w:rPr>
        <w:t> </w:t>
      </w:r>
      <w:r>
        <w:rPr>
          <w:rFonts w:ascii="Times New Roman" w:hAnsi="Times New Roman"/>
          <w:b w:val="false"/>
          <w:i w:val="false"/>
          <w:color w:val="000000"/>
          <w:sz w:val="22"/>
        </w:rPr>
        <w:t>The room is clean and free of objects and fixtures that could be potentially dangerous to a student, including protruding, exposed, or sharp objects, exposed pipes, electrical wiring, or other objects in the room that could be used by students to harm themselves or to climb up a wall.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103.9(10)</w:t>
      </w:r>
      <w:r>
        <w:rPr>
          <w:rFonts w:ascii="Times New Roman" w:hAnsi="Times New Roman"/>
          <w:b w:val="false"/>
          <w:i w:val="false"/>
          <w:color w:val="000000"/>
          <w:sz w:val="22"/>
        </w:rPr>
        <w:t> </w:t>
      </w:r>
      <w:r>
        <w:rPr>
          <w:rFonts w:ascii="Times New Roman" w:hAnsi="Times New Roman"/>
          <w:b w:val="false"/>
          <w:i w:val="false"/>
          <w:color w:val="000000"/>
          <w:sz w:val="22"/>
        </w:rPr>
        <w:t>The room contains no free-standing furniture.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103.9(11)</w:t>
      </w:r>
      <w:r>
        <w:rPr>
          <w:rFonts w:ascii="Times New Roman" w:hAnsi="Times New Roman"/>
          <w:b w:val="false"/>
          <w:i w:val="false"/>
          <w:color w:val="000000"/>
          <w:sz w:val="22"/>
        </w:rPr>
        <w:t> </w:t>
      </w:r>
      <w:r>
        <w:rPr>
          <w:rFonts w:ascii="Times New Roman" w:hAnsi="Times New Roman"/>
          <w:b w:val="false"/>
          <w:i w:val="false"/>
          <w:color w:val="000000"/>
          <w:sz w:val="22"/>
        </w:rPr>
        <w:t>The room is constructed of materials safe for its intended use, including wall and floor coverings designed to prevent injury to the student. Interior finish of the seclusion room will comply with the state and local building and fire codes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103.9(12)</w:t>
      </w:r>
      <w:r>
        <w:rPr>
          <w:rFonts w:ascii="Times New Roman" w:hAnsi="Times New Roman"/>
          <w:b w:val="false"/>
          <w:i w:val="false"/>
          <w:color w:val="000000"/>
          <w:sz w:val="22"/>
        </w:rPr>
        <w:t> </w:t>
      </w:r>
      <w:r>
        <w:rPr>
          <w:rFonts w:ascii="Times New Roman" w:hAnsi="Times New Roman"/>
          <w:b w:val="false"/>
          <w:i w:val="false"/>
          <w:color w:val="000000"/>
          <w:sz w:val="22"/>
        </w:rPr>
        <w:t>Doors will open outward. The door will not be fitted with a lock unless it releases automatically when not physically held in the locked position by personnel on the outside of the door and permits the door to be opened from the inside. Doors, when fully open, do not reduce the required corridor width by more than seven inches. Doors in any position do not reduce the required width by more than one-half.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103.9(13)</w:t>
      </w:r>
      <w:r>
        <w:rPr>
          <w:rFonts w:ascii="Times New Roman" w:hAnsi="Times New Roman"/>
          <w:b w:val="false"/>
          <w:i w:val="false"/>
          <w:color w:val="000000"/>
          <w:sz w:val="22"/>
        </w:rPr>
        <w:t> </w:t>
      </w:r>
      <w:r>
        <w:rPr>
          <w:rFonts w:ascii="Times New Roman" w:hAnsi="Times New Roman"/>
          <w:b w:val="false"/>
          <w:i w:val="false"/>
          <w:color w:val="000000"/>
          <w:sz w:val="22"/>
        </w:rPr>
        <w:t>The room is able to be opened from the inside immediately upon the release of a security mechanism held in place by constant human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103.9(14)</w:t>
      </w:r>
      <w:r>
        <w:rPr>
          <w:rFonts w:ascii="Times New Roman" w:hAnsi="Times New Roman"/>
          <w:b w:val="false"/>
          <w:i w:val="false"/>
          <w:color w:val="000000"/>
          <w:sz w:val="22"/>
        </w:rPr>
        <w:t> </w:t>
      </w:r>
      <w:r>
        <w:rPr>
          <w:rFonts w:ascii="Times New Roman" w:hAnsi="Times New Roman"/>
          <w:b w:val="false"/>
          <w:i w:val="false"/>
          <w:color w:val="000000"/>
          <w:sz w:val="22"/>
        </w:rPr>
        <w:t>Windows, if any, are transparent and made of unbreakable or shatterproof glass or plastic.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103.9(15)</w:t>
      </w:r>
      <w:r>
        <w:rPr>
          <w:rFonts w:ascii="Times New Roman" w:hAnsi="Times New Roman"/>
          <w:b w:val="false"/>
          <w:i w:val="false"/>
          <w:color w:val="000000"/>
          <w:sz w:val="22"/>
        </w:rPr>
        <w:t> </w:t>
      </w:r>
      <w:r>
        <w:rPr>
          <w:rFonts w:ascii="Times New Roman" w:hAnsi="Times New Roman"/>
          <w:b w:val="false"/>
          <w:i w:val="false"/>
          <w:color w:val="000000"/>
          <w:sz w:val="22"/>
        </w:rPr>
        <w:t>By July 1, 2021, schools will consult with appropriate state and local building, fire, safety, and health officials to ensure the room complies with all applicable codes and standards (for example, heating, ventilation, lighting, accessibility, dimensions, access, entry and exit, fire suppression, etc.), and maintain documentation of such consultation and compliance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103.9(16)</w:t>
      </w:r>
      <w:r>
        <w:rPr>
          <w:rFonts w:ascii="Times New Roman" w:hAnsi="Times New Roman"/>
          <w:b w:val="false"/>
          <w:i w:val="false"/>
          <w:color w:val="000000"/>
          <w:sz w:val="22"/>
        </w:rPr>
        <w:t> </w:t>
      </w:r>
      <w:r>
        <w:rPr>
          <w:rFonts w:ascii="Times New Roman" w:hAnsi="Times New Roman"/>
          <w:b w:val="false"/>
          <w:i w:val="false"/>
          <w:color w:val="000000"/>
          <w:sz w:val="22"/>
        </w:rPr>
        <w:t xml:space="preserve">Assuming approval pursuant to subrule </w:t>
      </w:r>
      <w:hyperlink r:id="rId40">
        <w:r>
          <w:rPr>
            <w:rStyle w:val="Hyperlink"/>
            <w:rFonts w:ascii="Times New Roman" w:hAnsi="Times New Roman"/>
            <w:b w:val="false"/>
            <w:i w:val="false"/>
            <w:color w:val="000000"/>
            <w:sz w:val="22"/>
          </w:rPr>
          <w:t>103.9(15)</w:t>
        </w:r>
      </w:hyperlink>
      <w:r>
        <w:rPr>
          <w:rFonts w:ascii="Times New Roman" w:hAnsi="Times New Roman"/>
          <w:b w:val="false"/>
          <w:i w:val="false"/>
          <w:color w:val="000000"/>
          <w:sz w:val="22"/>
        </w:rPr>
        <w:t xml:space="preserve">, a school may continue to use a room that otherwise complies with this rule but for subrule </w:t>
      </w:r>
      <w:hyperlink r:id="rId41">
        <w:r>
          <w:rPr>
            <w:rStyle w:val="Hyperlink"/>
            <w:rFonts w:ascii="Times New Roman" w:hAnsi="Times New Roman"/>
            <w:b w:val="false"/>
            <w:i w:val="false"/>
            <w:color w:val="000000"/>
            <w:sz w:val="22"/>
          </w:rPr>
          <w:t>103.9(2)</w:t>
        </w:r>
      </w:hyperlink>
      <w:r>
        <w:rPr>
          <w:rFonts w:ascii="Times New Roman" w:hAnsi="Times New Roman"/>
          <w:b w:val="false"/>
          <w:i w:val="false"/>
          <w:color w:val="000000"/>
          <w:sz w:val="22"/>
        </w:rPr>
        <w:t xml:space="preserve"> for a period of five years from January 20, 2021, or whenever the portion of the school containing the room is renovated or remodeled, whichever occurs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281—103.10</w:t>
      </w:r>
      <w:r>
        <w:rPr>
          <w:rFonts w:ascii="Times New Roman" w:hAnsi="Times New Roman"/>
          <w:b/>
          <w:i w:val="false"/>
          <w:color w:val="000000"/>
          <w:sz w:val="22"/>
        </w:rPr>
        <w:t xml:space="preserve">(256B,280) </w:t>
      </w:r>
      <w:r>
        <w:rPr>
          <w:rFonts w:ascii="Times New Roman" w:hAnsi="Times New Roman"/>
          <w:b/>
          <w:i w:val="false"/>
          <w:color w:val="000000"/>
          <w:sz w:val="22"/>
        </w:rPr>
        <w:t xml:space="preserve">Department responsibilities. </w:t>
      </w:r>
      <w:r>
        <w:rPr>
          <w:rFonts w:ascii="Times New Roman" w:hAnsi="Times New Roman"/>
          <w:b w:val="false"/>
          <w:i w:val="false"/>
          <w:color w:val="000000"/>
          <w:sz w:val="22"/>
        </w:rPr>
        <w:t>The department will develop, establish, and distribute to all school districts evidence-based standards, guidelines, and expectations for the appropriate and inappropriate responses to behavior in the classroom that presents an imminent threat of bodily injury to a student or another person and for the reasonable, necessary, and appropriate physical restraint of a student, consistent with these rules.</w:t>
      </w:r>
    </w:p>
    <w:p>
      <w:pPr>
        <w:spacing w:before="0" w:after="0"/>
        <w:ind w:left="120"/>
        <w:jc w:val="both"/>
      </w:pPr>
      <w:r>
        <w:rPr>
          <w:rFonts w:ascii="Times New Roman" w:hAnsi="Times New Roman"/>
          <w:b w:val="false"/>
          <w:i w:val="false"/>
          <w:color w:val="000000"/>
          <w:sz w:val="22"/>
        </w:rPr>
        <w:t>The director of the department will consult with the area education agencies to create comprehensive and consistent standards and guidance for professional development relating to successfully educating individuals in the least restrictive environment, and for evidence-based interventions consistent with the standards established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2">
        <w:r>
          <w:rPr>
            <w:rStyle w:val="Hyperlink"/>
            <w:rFonts w:ascii="Times New Roman" w:hAnsi="Times New Roman"/>
            <w:b w:val="false"/>
            <w:i w:val="false"/>
            <w:color w:val="000000"/>
            <w:sz w:val="22"/>
          </w:rPr>
          <w:t>280.21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10/12/90, Notice 9/5/90—published 10/31/90, effective 12/5/90</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9/13/91, Notice 5/29/91—published 10/2/91, effective 11/6/91]</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9378B</w:t>
      </w:r>
      <w:r>
        <w:rPr>
          <w:rFonts w:ascii="Times New Roman" w:hAnsi="Times New Roman"/>
          <w:b w:val="false"/>
          <w:i w:val="false"/>
          <w:color w:val="000000"/>
          <w:sz w:val="21"/>
        </w:rPr>
        <w:t xml:space="preserve"> (Notice ARC 9146B, IAB 10/6/10)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5332C</w:t>
      </w:r>
      <w:r>
        <w:rPr>
          <w:rFonts w:ascii="Times New Roman" w:hAnsi="Times New Roman"/>
          <w:b w:val="false"/>
          <w:i w:val="false"/>
          <w:color w:val="000000"/>
          <w:sz w:val="21"/>
        </w:rPr>
        <w:t xml:space="preserve"> (Notice ARC 5146C, IAB 8/26/20)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7804C</w:t>
      </w:r>
      <w:r>
        <w:rPr>
          <w:rFonts w:ascii="Times New Roman" w:hAnsi="Times New Roman"/>
          <w:b w:val="false"/>
          <w:i w:val="false"/>
          <w:color w:val="000000"/>
          <w:sz w:val="21"/>
        </w:rPr>
        <w:t xml:space="preserve"> (Notice ARC 7600C, IAB 2/7/24)</w:t>
      </w:r>
      <w:r>
        <w:rPr>
          <w:rFonts w:ascii="Times New Roman" w:hAnsi="Times New Roman"/>
          <w:b w:val="false"/>
          <w:i w:val="false"/>
          <w:color w:val="000000"/>
          <w:sz w:val="21"/>
        </w:rPr>
        <w:t>, IAB 4/17/24, effective 5/22/24]</w:t>
      </w:r>
    </w:p>
    <w:p>
      <w:pPr>
        <w:pBdr>
          <w:bottom w:space="2"/>
        </w:pBdr>
        <w:spacing w:before="0" w:after="0"/>
        <w:ind w:left="120"/>
        <w:jc w:val="both"/>
      </w:pPr>
      <w:r>
        <w:rPr>
          <w:rFonts w:ascii="Times New Roman" w:hAnsi="Times New Roman"/>
          <w:b w:val="false"/>
          <w:i w:val="false"/>
          <w:color w:val="000000"/>
          <w:sz w:val="22"/>
        </w:rPr>
        <w:t>Effective date of 281—103.2(280), last 2 sentences, delayed until adjournment of the 1991 Session of the General Assembly by the Administrative Rules Review Committee at its November 13, 1990, meeting. The agency rescinded the last sentence, effective 11/6/91, IAB 10/2/91.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1.41.30.pdf" Type="http://schemas.openxmlformats.org/officeDocument/2006/relationships/hyperlink" Id="rId5"/>
    <Relationship TargetMode="External" Target="https://www.legis.iowa.gov/docs/iac/rule/281.103.5.pdf" Type="http://schemas.openxmlformats.org/officeDocument/2006/relationships/hyperlink" Id="rId6"/>
    <Relationship TargetMode="External" Target="https://www.legis.iowa.gov/docs/ico/chapter/256B.pdf" Type="http://schemas.openxmlformats.org/officeDocument/2006/relationships/hyperlink" Id="rId7"/>
    <Relationship TargetMode="External" Target="https://www.legis.iowa.gov/docs/iac/chapter/281.41.pdf" Type="http://schemas.openxmlformats.org/officeDocument/2006/relationships/hyperlink" Id="rId8"/>
    <Relationship TargetMode="External" Target="https://www.legis.iowa.gov/docs/iac/rule/281.103.3.pdf" Type="http://schemas.openxmlformats.org/officeDocument/2006/relationships/hyperlink" Id="rId9"/>
    <Relationship TargetMode="External" Target="https://www.legis.iowa.gov/docs/ico/chapter/280.21.pdf" Type="http://schemas.openxmlformats.org/officeDocument/2006/relationships/hyperlink" Id="rId10"/>
    <Relationship TargetMode="External" Target="https://www.legis.iowa.gov/docs/iac/rule/281.103.8.pdf" Type="http://schemas.openxmlformats.org/officeDocument/2006/relationships/hyperlink" Id="rId11"/>
    <Relationship TargetMode="External" Target="https://www.legis.iowa.gov/docs/iac/rule/281.103.8.pdf" Type="http://schemas.openxmlformats.org/officeDocument/2006/relationships/hyperlink" Id="rId12"/>
    <Relationship TargetMode="External" Target="https://www.legis.iowa.gov/docs/iac/rule/281.103.8.pdf" Type="http://schemas.openxmlformats.org/officeDocument/2006/relationships/hyperlink" Id="rId13"/>
    <Relationship TargetMode="External" Target="https://www.legis.iowa.gov/docs/iac/rule/281.103.7.pdf" Type="http://schemas.openxmlformats.org/officeDocument/2006/relationships/hyperlink" Id="rId14"/>
    <Relationship TargetMode="External" Target="https://www.legis.iowa.gov/docs/iac/rule/281.103.9.pdf" Type="http://schemas.openxmlformats.org/officeDocument/2006/relationships/hyperlink" Id="rId15"/>
    <Relationship TargetMode="External" Target="https://www.legis.iowa.gov/docs/iac/rule/281.103.7.pdf" Type="http://schemas.openxmlformats.org/officeDocument/2006/relationships/hyperlink" Id="rId16"/>
    <Relationship TargetMode="External" Target="https://www.legis.iowa.gov/docs/iac/rule/281.103.8.pdf" Type="http://schemas.openxmlformats.org/officeDocument/2006/relationships/hyperlink" Id="rId17"/>
    <Relationship TargetMode="External" Target="https://www.legis.iowa.gov/docs/ico/chapter/280.21.pdf" Type="http://schemas.openxmlformats.org/officeDocument/2006/relationships/hyperlink" Id="rId18"/>
    <Relationship TargetMode="External" Target="https://www.legis.iowa.gov/docs/iac/rule/281.103.11.pdf" Type="http://schemas.openxmlformats.org/officeDocument/2006/relationships/hyperlink" Id="rId19"/>
    <Relationship TargetMode="External" Target="https://www.legis.iowa.gov/docs/iac/rule/281.102.2.pdf" Type="http://schemas.openxmlformats.org/officeDocument/2006/relationships/hyperlink" Id="rId20"/>
    <Relationship TargetMode="External" Target="https://www.legis.iowa.gov/docs/iac/chapter/281.102.pdf" Type="http://schemas.openxmlformats.org/officeDocument/2006/relationships/hyperlink" Id="rId21"/>
    <Relationship TargetMode="External" Target="https://www.legis.iowa.gov/docs/ico/chapter/280.21.pdf" Type="http://schemas.openxmlformats.org/officeDocument/2006/relationships/hyperlink" Id="rId22"/>
    <Relationship TargetMode="External" Target="https://www.legis.iowa.gov/docs/ico/chapter/280.21.pdf" Type="http://schemas.openxmlformats.org/officeDocument/2006/relationships/hyperlink" Id="rId23"/>
    <Relationship TargetMode="External" Target="https://www.legis.iowa.gov/docs/iac/rule/281.103.7.pdf" Type="http://schemas.openxmlformats.org/officeDocument/2006/relationships/hyperlink" Id="rId24"/>
    <Relationship TargetMode="External" Target="https://www.legis.iowa.gov/docs/iac/rule/281.103.8.pdf" Type="http://schemas.openxmlformats.org/officeDocument/2006/relationships/hyperlink" Id="rId25"/>
    <Relationship TargetMode="External" Target="https://www.legis.iowa.gov/docs/iac/rule/281.103.7.pdf" Type="http://schemas.openxmlformats.org/officeDocument/2006/relationships/hyperlink" Id="rId26"/>
    <Relationship TargetMode="External" Target="https://www.legis.iowa.gov/docs/iac/rule/281.103.7.pdf" Type="http://schemas.openxmlformats.org/officeDocument/2006/relationships/hyperlink" Id="rId27"/>
    <Relationship TargetMode="External" Target="https://www.legis.iowa.gov/docs/iac/rule/281.103.7.pdf" Type="http://schemas.openxmlformats.org/officeDocument/2006/relationships/hyperlink" Id="rId28"/>
    <Relationship TargetMode="External" Target="https://www.legis.iowa.gov/docs/iac/rule/281.103.7.pdf" Type="http://schemas.openxmlformats.org/officeDocument/2006/relationships/hyperlink" Id="rId29"/>
    <Relationship TargetMode="External" Target="https://www.legis.iowa.gov/docs/iac/rule/281.103.8.pdf" Type="http://schemas.openxmlformats.org/officeDocument/2006/relationships/hyperlink" Id="rId30"/>
    <Relationship TargetMode="External" Target="https://www.legis.iowa.gov/docs/iac/rule/281.103.8.pdf" Type="http://schemas.openxmlformats.org/officeDocument/2006/relationships/hyperlink" Id="rId31"/>
    <Relationship TargetMode="External" Target="https://www.legis.iowa.gov/docs/iac/rule/281.103.8.pdf" Type="http://schemas.openxmlformats.org/officeDocument/2006/relationships/hyperlink" Id="rId32"/>
    <Relationship TargetMode="External" Target="https://www.legis.iowa.gov/docs/iac/chapter/281.14.pdf" Type="http://schemas.openxmlformats.org/officeDocument/2006/relationships/hyperlink" Id="rId33"/>
    <Relationship TargetMode="External" Target="https://www.legis.iowa.gov/docs/iac/chapter/281.41.pdf" Type="http://schemas.openxmlformats.org/officeDocument/2006/relationships/hyperlink" Id="rId34"/>
    <Relationship TargetMode="External" Target="https://www.legis.iowa.gov/docs/iac/chapter/281.14.pdf" Type="http://schemas.openxmlformats.org/officeDocument/2006/relationships/hyperlink" Id="rId35"/>
    <Relationship TargetMode="External" Target="https://www.legis.iowa.gov/docs/iac/chapter/281.41.pdf" Type="http://schemas.openxmlformats.org/officeDocument/2006/relationships/hyperlink" Id="rId36"/>
    <Relationship TargetMode="External" Target="https://www.legis.iowa.gov/docs/ico/chapter/279.pdf" Type="http://schemas.openxmlformats.org/officeDocument/2006/relationships/hyperlink" Id="rId37"/>
    <Relationship TargetMode="External" Target="https://www.legis.iowa.gov/docs/ico/chapter/284.pdf" Type="http://schemas.openxmlformats.org/officeDocument/2006/relationships/hyperlink" Id="rId38"/>
    <Relationship TargetMode="External" Target="https://www.legis.iowa.gov/docs/ico/chapter/22.pdf" Type="http://schemas.openxmlformats.org/officeDocument/2006/relationships/hyperlink" Id="rId39"/>
    <Relationship TargetMode="External" Target="https://www.legis.iowa.gov/docs/iac/rule/281.103.9.pdf" Type="http://schemas.openxmlformats.org/officeDocument/2006/relationships/hyperlink" Id="rId40"/>
    <Relationship TargetMode="External" Target="https://www.legis.iowa.gov/docs/iac/rule/281.103.9.pdf" Type="http://schemas.openxmlformats.org/officeDocument/2006/relationships/hyperlink" Id="rId41"/>
    <Relationship TargetMode="External" Target="https://www.legis.iowa.gov/docs/ico/chapter/280.21.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