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 xml:space="preserve">PROCEDURES FOR CHARGING AND INVESTIGATING INCIDENTS OF ABUSE </w:t>
      </w:r>
      <w:r>
        <w:br/>
      </w:r>
      <w:r>
        <w:rPr>
          <w:rFonts w:ascii="Times New Roman" w:hAnsi="Times New Roman"/>
          <w:b w:val="false"/>
          <w:i w:val="false"/>
          <w:color w:val="000000"/>
          <w:sz w:val="21"/>
        </w:rPr>
        <w:t>OF STUDENTS BY SCHOOL EMPLOYEES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INVESTIGATIONS BEGUN ON OR BEFORE JUNE 30, 2025</w:t>
      </w:r>
    </w:p>
    <w:p>
      <w:pPr>
        <w:spacing w:before="0" w:after="0"/>
        <w:ind w:left="120"/>
        <w:jc w:val="both"/>
      </w:pPr>
      <w:r>
        <w:rPr>
          <w:rFonts w:ascii="Times New Roman" w:hAnsi="Times New Roman"/>
          <w:b/>
          <w:i w:val="false"/>
          <w:color w:val="000000"/>
          <w:sz w:val="22"/>
        </w:rPr>
        <w:t>281—102.1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may fall into either of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“Physical abuse”</w:t>
      </w:r>
      <w:r>
        <w:rPr>
          <w:rFonts w:ascii="Times New Roman" w:hAnsi="Times New Roman"/>
          <w:b w:val="false"/>
          <w:i w:val="false"/>
          <w:color w:val="000000"/>
          <w:sz w:val="22"/>
        </w:rPr>
        <w:t xml:space="preserve"> means nonaccidental physical injury to the student as a result of the actions of a school employee.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“Sexual abuse”</w:t>
      </w:r>
      <w:r>
        <w:rPr>
          <w:rFonts w:ascii="Times New Roman" w:hAnsi="Times New Roman"/>
          <w:b w:val="false"/>
          <w:i w:val="false"/>
          <w:color w:val="000000"/>
          <w:sz w:val="22"/>
        </w:rPr>
        <w:t xml:space="preserve"> means any sexual offense as defined by Iowa Code chapter </w:t>
      </w:r>
      <w:hyperlink r:id="rId5">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6">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The term also encompasses acts of the school employee that encourage the student to engage in prostitution as defined by Iowa law, as well as inappropriate, intentional sexual behavior, or sexual harassment by the school employee toward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educational examiners” </w:t>
      </w:r>
      <w:r>
        <w:rPr>
          <w:rFonts w:ascii="Times New Roman" w:hAnsi="Times New Roman"/>
          <w:b w:val="false"/>
          <w:i w:val="false"/>
          <w:color w:val="000000"/>
          <w:sz w:val="22"/>
        </w:rPr>
        <w:t xml:space="preserve">means the board created in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investigator” </w:t>
      </w:r>
      <w:r>
        <w:rPr>
          <w:rFonts w:ascii="Times New Roman" w:hAnsi="Times New Roman"/>
          <w:b w:val="false"/>
          <w:i w:val="false"/>
          <w:color w:val="000000"/>
          <w:sz w:val="22"/>
        </w:rPr>
        <w:t>means the person or persons appointed by the board of directors of a public school district, or the authorities in control of a nonpublic school, at level one, to investigate allegations or reports of abuse of students by school employees and also refers to the appointed alternate.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an occurrence of behavior that meets the definition of physical or sexual abuse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occurs when evidence of it is still apparent at least 24 hours after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school” </w:t>
      </w:r>
      <w:r>
        <w:rPr>
          <w:rFonts w:ascii="Times New Roman" w:hAnsi="Times New Roman"/>
          <w:b w:val="false"/>
          <w:i w:val="false"/>
          <w:color w:val="000000"/>
          <w:sz w:val="22"/>
        </w:rPr>
        <w:t>means any school in which education is provided to a student, other than in a public school or in the home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evidence” </w:t>
      </w:r>
      <w:r>
        <w:rPr>
          <w:rFonts w:ascii="Times New Roman" w:hAnsi="Times New Roman"/>
          <w:b w:val="false"/>
          <w:i w:val="false"/>
          <w:color w:val="000000"/>
          <w:sz w:val="22"/>
        </w:rPr>
        <w:t>means reliable, credible evidence that is of greater weight than evidence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w:t>
      </w:r>
      <w:r>
        <w:rPr>
          <w:rFonts w:ascii="Times New Roman" w:hAnsi="Times New Roman"/>
          <w:b w:val="false"/>
          <w:i w:val="false"/>
          <w:color w:val="000000"/>
          <w:sz w:val="22"/>
        </w:rPr>
        <w:t>means any school directly supported in whole or in part by taxation.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force” </w:t>
      </w:r>
      <w:r>
        <w:rPr>
          <w:rFonts w:ascii="Times New Roman" w:hAnsi="Times New Roman"/>
          <w:b w:val="false"/>
          <w:i w:val="false"/>
          <w:color w:val="000000"/>
          <w:sz w:val="22"/>
        </w:rPr>
        <w:t>means that force, and no more, that a reasonable person, in like circumstances, would judge to be necessary to prevent an injury or loss and can include deadly force if it is reasonable to believe that such force is necessary to avoid injury or risk to one’s life or safety or the life or safety of another, or it is reasonable to believe that such force is necessary to resist a like force or threat.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employee” </w:t>
      </w:r>
      <w:r>
        <w:rPr>
          <w:rFonts w:ascii="Times New Roman" w:hAnsi="Times New Roman"/>
          <w:b w:val="false"/>
          <w:i w:val="false"/>
          <w:color w:val="000000"/>
          <w:sz w:val="22"/>
        </w:rPr>
        <w:t>means a person who works for pay or as a volunteer under the direction and control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board of directors or any administrator of a public school district.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board or authorities in control of a nonpublic school.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of directors or administrator of an agency called upon by a school official to provide services in an educational capacity to students.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residential institution, not currently covered by Iowa Code chapter </w:t>
      </w:r>
      <w:hyperlink r:id="rId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providing educational services.</w:t>
      </w:r>
    </w:p>
    <w:p>
      <w:pPr>
        <w:spacing w:before="0" w:after="0"/>
        <w:ind w:left="120"/>
        <w:jc w:val="both"/>
      </w:pPr>
      <w:r>
        <w:rPr>
          <w:rFonts w:ascii="Times New Roman" w:hAnsi="Times New Roman"/>
          <w:b w:val="false"/>
          <w:i w:val="false"/>
          <w:color w:val="000000"/>
          <w:sz w:val="22"/>
        </w:rPr>
        <w:t>School employees are of two classes: licensed and unlicensed. A licensed employee holds an Iowa teacher’s certificate issued by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means unwelcome sexual advances, requests for sexual favors or other verbal or physical conduct of a sexual nature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Submission to the conduct is made either implicitly or explicitly a term or condition of the student’s education or benefits;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Submission to or rejection of the conduct is used as the basis for academic decisions affecting that student;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conduct has the purpose or effect of substantially interfering with a student’s academic performance by creating an objectively intimidating, hostile, or offensive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a person enrolled in a public or nonpublic school or a prekindergarten program in a public or nonpublic school established under Iowa law, a child enrolled in a day care program operated by a public school or merged area school under Iowa Code section </w:t>
      </w:r>
      <w:hyperlink r:id="rId9">
        <w:r>
          <w:rPr>
            <w:rStyle w:val="Hyperlink"/>
            <w:rFonts w:ascii="Times New Roman" w:hAnsi="Times New Roman"/>
            <w:b w:val="false"/>
            <w:i w:val="false"/>
            <w:color w:val="000000"/>
            <w:sz w:val="22"/>
          </w:rPr>
          <w:t>279.49</w:t>
        </w:r>
      </w:hyperlink>
      <w:r>
        <w:rPr>
          <w:rFonts w:ascii="Times New Roman" w:hAnsi="Times New Roman"/>
          <w:b w:val="false"/>
          <w:i w:val="false"/>
          <w:color w:val="000000"/>
          <w:sz w:val="22"/>
        </w:rPr>
        <w:t>, or a resident between the ages of 5 and 21 of a state facility providing incidental formal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281—102.2</w:t>
      </w:r>
      <w:r>
        <w:rPr>
          <w:rFonts w:ascii="Times New Roman" w:hAnsi="Times New Roman"/>
          <w:b/>
          <w:i w:val="false"/>
          <w:color w:val="000000"/>
          <w:sz w:val="22"/>
        </w:rPr>
        <w:t xml:space="preserve">(280) </w:t>
      </w:r>
      <w:r>
        <w:rPr>
          <w:rFonts w:ascii="Times New Roman" w:hAnsi="Times New Roman"/>
          <w:b/>
          <w:i w:val="false"/>
          <w:color w:val="000000"/>
          <w:sz w:val="22"/>
        </w:rPr>
        <w:t xml:space="preserve">Jurisdiction. </w:t>
      </w:r>
      <w:r>
        <w:rPr>
          <w:rFonts w:ascii="Times New Roman" w:hAnsi="Times New Roman"/>
          <w:b w:val="false"/>
          <w:i w:val="false"/>
          <w:color w:val="000000"/>
          <w:sz w:val="22"/>
        </w:rPr>
        <w:t>To constitute a violation of these rules, acts of the school employee must be alleged to have occurred on school grounds, on school time, on a school-sponsored activity, or in a school-related context. To be investigable, the written report is to include basic information showing that the student allegedly abused is or was a student at the time of the incident, that the alleged act of the school employee resulted in injury or otherwise meets the definition of abuse in these rules, and that the person responsible for the act is currently a school employee.</w:t>
      </w:r>
    </w:p>
    <w:p>
      <w:pPr>
        <w:spacing w:before="0" w:after="0"/>
        <w:ind w:left="120"/>
        <w:jc w:val="both"/>
      </w:pPr>
      <w:r>
        <w:rPr>
          <w:rFonts w:ascii="Times New Roman" w:hAnsi="Times New Roman"/>
          <w:b w:val="false"/>
          <w:i w:val="false"/>
          <w:color w:val="000000"/>
          <w:sz w:val="22"/>
        </w:rPr>
        <w:t xml:space="preserve">If the report is not investigable due to the absence of any of the jurisdictional facts, the level-one investigator will dismiss the complaint as lacking jurisdiction and notify the person filing the report of abuse of the options remaining as listed in paragraph </w:t>
      </w:r>
      <w:hyperlink r:id="rId10">
        <w:r>
          <w:rPr>
            <w:rStyle w:val="Hyperlink"/>
            <w:rFonts w:ascii="Times New Roman" w:hAnsi="Times New Roman"/>
            <w:b w:val="false"/>
            <w:i w:val="false"/>
            <w:color w:val="000000"/>
            <w:sz w:val="22"/>
          </w:rPr>
          <w:t>102.10(1)</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dismissal of a report of abuse for lack of jurisdiction does not bar school officials from further forms of investigation and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281—102.3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281—102.4</w:t>
      </w:r>
      <w:r>
        <w:rPr>
          <w:rFonts w:ascii="Times New Roman" w:hAnsi="Times New Roman"/>
          <w:b/>
          <w:i w:val="false"/>
          <w:color w:val="000000"/>
          <w:sz w:val="22"/>
        </w:rPr>
        <w:t xml:space="preserve">(280) </w:t>
      </w:r>
      <w:r>
        <w:rPr>
          <w:rFonts w:ascii="Times New Roman" w:hAnsi="Times New Roman"/>
          <w:b/>
          <w:i w:val="false"/>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The following do not constitute physical abuse, and no school employee is prohibited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reasonable and necessary force, not designed or intended to cause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quell a disturbance or prevent an act that threatens physical harm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obtain possession of a weapon or other dangerous object within a pupil’s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self-defense or defense of others as provided for in Iowa Code section </w:t>
      </w:r>
      <w:hyperlink r:id="rId11">
        <w:r>
          <w:rPr>
            <w:rStyle w:val="Hyperlink"/>
            <w:rFonts w:ascii="Times New Roman" w:hAnsi="Times New Roman"/>
            <w:b w:val="false"/>
            <w:i w:val="false"/>
            <w:color w:val="000000"/>
            <w:sz w:val="22"/>
          </w:rPr>
          <w:t>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protection of property as provided for in Iowa Code section </w:t>
      </w:r>
      <w:hyperlink r:id="rId12">
        <w:r>
          <w:rPr>
            <w:rStyle w:val="Hyperlink"/>
            <w:rFonts w:ascii="Times New Roman" w:hAnsi="Times New Roman"/>
            <w:b w:val="false"/>
            <w:i w:val="false"/>
            <w:color w:val="000000"/>
            <w:sz w:val="22"/>
          </w:rPr>
          <w:t>704.4</w:t>
        </w:r>
      </w:hyperlink>
      <w:r>
        <w:rPr>
          <w:rFonts w:ascii="Times New Roman" w:hAnsi="Times New Roman"/>
          <w:b w:val="false"/>
          <w:i w:val="false"/>
          <w:color w:val="000000"/>
          <w:sz w:val="22"/>
        </w:rPr>
        <w:t xml:space="preserve"> or 704.5.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remove a disruptive pupil from class, or any area of school premises or from school-sponsored activities off school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prevent a student from the self-infliction of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protect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incidental, minor, or reasonable physical contact to maintain order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val="false"/>
          <w:color w:val="000000"/>
          <w:sz w:val="22"/>
        </w:rPr>
        <w:t>In determining the reasonableness of the contact or force used, the following factors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misconduct of the student, if any, precipitating the physical contact by the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and physical condition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instrumentality used in making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motivation of the school employee in initiating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of injury to the student resulting from the physical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apply only at the level-two stage of any investigation and will not be considered by a level-one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281—102.5</w:t>
      </w:r>
      <w:r>
        <w:rPr>
          <w:rFonts w:ascii="Times New Roman" w:hAnsi="Times New Roman"/>
          <w:b/>
          <w:i w:val="false"/>
          <w:color w:val="000000"/>
          <w:sz w:val="22"/>
        </w:rPr>
        <w:t xml:space="preserve">(280) </w:t>
      </w:r>
      <w:r>
        <w:rPr>
          <w:rFonts w:ascii="Times New Roman" w:hAnsi="Times New Roman"/>
          <w:b/>
          <w:i w:val="false"/>
          <w:color w:val="000000"/>
          <w:sz w:val="22"/>
        </w:rPr>
        <w:t xml:space="preserve">Duties of school authorities. </w:t>
      </w:r>
      <w:r>
        <w:rPr>
          <w:rFonts w:ascii="Times New Roman" w:hAnsi="Times New Roman"/>
          <w:b w:val="false"/>
          <w:i w:val="false"/>
          <w:color w:val="000000"/>
          <w:sz w:val="22"/>
        </w:rPr>
        <w:t>The board of directors of a public school district and the authorities in control of a nonpublic school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val="false"/>
          <w:color w:val="000000"/>
          <w:sz w:val="22"/>
        </w:rPr>
        <w:t>Annually identify at least one designated investigator and alternate investigator at an open public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val="false"/>
          <w:color w:val="000000"/>
          <w:sz w:val="22"/>
        </w:rPr>
        <w:t>Adopt written procedures that establish persons to whom the school authorities will delegate a second level of investigation beyond the level-one procedures specifically described in these rules, including law enforcement authorities or the county attorney’s office, personnel of the local office of the department of health and human services, or private parties experienced and knowledgeable in the area of abuse investigation. The second-level investigator is not to be a school employee and is considered an independent contractor if remunerated for services rendered. The second-level investigator is to be made aware of any request under this rule and be offered an opportunity to decline the request, with reasons given.</w:t>
      </w:r>
    </w:p>
    <w:p>
      <w:pPr>
        <w:spacing w:before="0" w:after="0"/>
        <w:ind w:left="120"/>
        <w:jc w:val="both"/>
      </w:pPr>
      <w:r>
        <w:rPr>
          <w:rFonts w:ascii="Times New Roman" w:hAnsi="Times New Roman"/>
          <w:b w:val="false"/>
          <w:i w:val="false"/>
          <w:color w:val="000000"/>
          <w:sz w:val="22"/>
        </w:rPr>
        <w:t>The adopted procedures are to conform to these rules and include provisions for the safety of a student when, in the opinion of the investigator, the student would be placed in imminent danger if continued contact is permitted between the school employee and the student. These provisions will include the options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Temporary removal of the student from contact with the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removal of the school employee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appropriate action permissible under Iowa law to ensure the student’s safety.</w:t>
      </w:r>
    </w:p>
    <w:p>
      <w:pPr>
        <w:spacing w:before="0" w:after="0"/>
        <w:ind w:left="120"/>
        <w:jc w:val="both"/>
      </w:pPr>
      <w:r>
        <w:rPr>
          <w:rFonts w:ascii="Times New Roman" w:hAnsi="Times New Roman"/>
          <w:b w:val="false"/>
          <w:i w:val="false"/>
          <w:color w:val="000000"/>
          <w:sz w:val="22"/>
        </w:rPr>
        <w:t>The adopted written procedures will include a statement that the investigators appointed and retained under this chapter have access to any educational records of the allegedly abused student and access to the student for purposes of interviewing and investigating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val="false"/>
          <w:color w:val="000000"/>
          <w:sz w:val="22"/>
        </w:rPr>
        <w:t>Annually publish the names or positions and telephone numbers or other contact information of the designated investigator and alternate: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student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local newspaper of general circulation,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Prominently post the same information in all buildings operated by the school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w:t>
      </w:r>
      <w:r>
        <w:rPr>
          <w:rFonts w:ascii="Times New Roman" w:hAnsi="Times New Roman"/>
          <w:b w:val="false"/>
          <w:i w:val="false"/>
          <w:color w:val="000000"/>
          <w:sz w:val="22"/>
        </w:rPr>
        <w:t> </w:t>
      </w:r>
      <w:r>
        <w:rPr>
          <w:rFonts w:ascii="Times New Roman" w:hAnsi="Times New Roman"/>
          <w:b w:val="false"/>
          <w:i w:val="false"/>
          <w:color w:val="000000"/>
          <w:sz w:val="22"/>
        </w:rPr>
        <w:t>Arrange for in-service training for the designated investigator and alternate. Initial training should be undertaken within six months of appointing a level-one investigator or alternate. Follow-up training should be undertaken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102.5(5)</w:t>
      </w:r>
      <w:r>
        <w:rPr>
          <w:rFonts w:ascii="Times New Roman" w:hAnsi="Times New Roman"/>
          <w:b w:val="false"/>
          <w:i w:val="false"/>
          <w:color w:val="000000"/>
          <w:sz w:val="22"/>
        </w:rPr>
        <w:t> </w:t>
      </w:r>
      <w:r>
        <w:rPr>
          <w:rFonts w:ascii="Times New Roman" w:hAnsi="Times New Roman"/>
          <w:b w:val="false"/>
          <w:i w:val="false"/>
          <w:color w:val="000000"/>
          <w:sz w:val="22"/>
        </w:rPr>
        <w:t xml:space="preserve">Place on administrative leave a school employee who is the subject of an investigation under this chapter of an alleged incident of physical or sexual abuse, once the level-one investigator has determined that the written complaint is investigable under rule </w:t>
      </w:r>
      <w:hyperlink r:id="rId13">
        <w:r>
          <w:rPr>
            <w:rStyle w:val="Hyperlink"/>
            <w:rFonts w:ascii="Times New Roman" w:hAnsi="Times New Roman"/>
            <w:b w:val="false"/>
            <w:i w:val="false"/>
            <w:color w:val="000000"/>
            <w:sz w:val="22"/>
          </w:rPr>
          <w:t>281—102.3</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102.5(6)</w:t>
      </w:r>
      <w:r>
        <w:rPr>
          <w:rFonts w:ascii="Times New Roman" w:hAnsi="Times New Roman"/>
          <w:b w:val="false"/>
          <w:i w:val="false"/>
          <w:color w:val="000000"/>
          <w:sz w:val="22"/>
        </w:rPr>
        <w:t> </w:t>
      </w:r>
      <w:r>
        <w:rPr>
          <w:rFonts w:ascii="Times New Roman" w:hAnsi="Times New Roman"/>
          <w:b w:val="false"/>
          <w:i w:val="false"/>
          <w:color w:val="000000"/>
          <w:sz w:val="22"/>
        </w:rPr>
        <w:t>Report to the board of educational examiners the results of an investigation that finds that the school employee’s conduct constitutes a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281—102.6</w:t>
      </w:r>
      <w:r>
        <w:rPr>
          <w:rFonts w:ascii="Times New Roman" w:hAnsi="Times New Roman"/>
          <w:b/>
          <w:i w:val="false"/>
          <w:color w:val="000000"/>
          <w:sz w:val="22"/>
        </w:rPr>
        <w:t xml:space="preserve">(280) </w:t>
      </w:r>
      <w:r>
        <w:rPr>
          <w:rFonts w:ascii="Times New Roman" w:hAnsi="Times New Roman"/>
          <w:b/>
          <w:i w:val="false"/>
          <w:color w:val="000000"/>
          <w:sz w:val="22"/>
        </w:rPr>
        <w:t xml:space="preserve">Filing of a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person who has knowledge of an incident of abuse of a student committed by a school employee may file a report with the designated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Content of report. </w:t>
      </w:r>
      <w:r>
        <w:rPr>
          <w:rFonts w:ascii="Times New Roman" w:hAnsi="Times New Roman"/>
          <w:b w:val="false"/>
          <w:i w:val="false"/>
          <w:color w:val="000000"/>
          <w:sz w:val="22"/>
        </w:rPr>
        <w:t>The report is to be in writing, signed, and, if signed by a minor, witnessed by a person of majority age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person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age, address, telephone number, and attendance center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place of employment of the school employee(s) or agents who allegedly committed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facts surrounding the incident, including date, time, and place of occurrence,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possible witnesses by name,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Names and locations of any and all persons who examined, counseled or treated the student for the alleged abuse, including the dates on which those services were provided,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w:t>
      </w:r>
      <w:r>
        <w:rPr>
          <w:rFonts w:ascii="Times New Roman" w:hAnsi="Times New Roman"/>
          <w:b w:val="false"/>
          <w:i w:val="false"/>
          <w:color w:val="000000"/>
          <w:sz w:val="22"/>
        </w:rPr>
        <w:t> </w:t>
      </w:r>
      <w:r>
        <w:rPr>
          <w:rFonts w:ascii="Times New Roman" w:hAnsi="Times New Roman"/>
          <w:b w:val="false"/>
          <w:i/>
          <w:color w:val="000000"/>
          <w:sz w:val="22"/>
        </w:rPr>
        <w:t xml:space="preserve">Incomplete reports. </w:t>
      </w:r>
      <w:r>
        <w:rPr>
          <w:rFonts w:ascii="Times New Roman" w:hAnsi="Times New Roman"/>
          <w:b w:val="false"/>
          <w:i w:val="false"/>
          <w:color w:val="000000"/>
          <w:sz w:val="22"/>
        </w:rPr>
        <w:t>The designated investigator shall aid parties requesting assistance in completing the report. An incomplete report will not be rejected unless a reasonable person would conclude that the missing information that is unable to be provided by the reporter would render investigation futile or impossible. An unsigned (anonymous) or unwitnessed report may be investigated, but the designated investigator then has no duty to report findings and conclusions to the reporter.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281—102.7</w:t>
      </w:r>
      <w:r>
        <w:rPr>
          <w:rFonts w:ascii="Times New Roman" w:hAnsi="Times New Roman"/>
          <w:b/>
          <w:i w:val="false"/>
          <w:color w:val="000000"/>
          <w:sz w:val="22"/>
        </w:rPr>
        <w:t xml:space="preserve">(280) </w:t>
      </w:r>
      <w:r>
        <w:rPr>
          <w:rFonts w:ascii="Times New Roman" w:hAnsi="Times New Roman"/>
          <w:b/>
          <w:i w:val="false"/>
          <w:color w:val="000000"/>
          <w:sz w:val="22"/>
        </w:rPr>
        <w:t xml:space="preserve">Receipt of report. </w:t>
      </w:r>
      <w:r>
        <w:rPr>
          <w:rFonts w:ascii="Times New Roman" w:hAnsi="Times New Roman"/>
          <w:b w:val="false"/>
          <w:i w:val="false"/>
          <w:color w:val="000000"/>
          <w:sz w:val="22"/>
        </w:rPr>
        <w:t>Any school employee receiving a report of alleged abuse of a student by a school employee shall immediately give the report to the designated investigator or alternate and not reveal the existence or content of the report to any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281—102.8</w:t>
      </w:r>
      <w:r>
        <w:rPr>
          <w:rFonts w:ascii="Times New Roman" w:hAnsi="Times New Roman"/>
          <w:b/>
          <w:i w:val="false"/>
          <w:color w:val="000000"/>
          <w:sz w:val="22"/>
        </w:rPr>
        <w:t xml:space="preserve">(280) </w:t>
      </w:r>
      <w:r>
        <w:rPr>
          <w:rFonts w:ascii="Times New Roman" w:hAnsi="Times New Roman"/>
          <w:b/>
          <w:i w:val="false"/>
          <w:color w:val="000000"/>
          <w:sz w:val="22"/>
        </w:rPr>
        <w:t xml:space="preserve">Duties of designated investigator—physical abuse allegations.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val="false"/>
          <w:color w:val="000000"/>
          <w:sz w:val="22"/>
        </w:rPr>
        <w:t>Upon receipt of the report, the designated investigator will make and provide a copy of the report to the person filing, to the student’s parent or guardian if different from the person filing and to the supervisor of the employee named in the report. The school employee named in the report is to receive a copy of the report at the time the employee is initially interviewed by any investigator. However, if this action would conflict with the terms of a contractual agreement between the employer and employee, the terms of the contract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five school days of receipt of a report of physical abuse, the designated investigator will conduct and complete an informal investigation after reviewing the report to determine that the allegations, if true, support the exercise of jurisdiction pursuant to rule </w:t>
      </w:r>
      <w:hyperlink r:id="rId14">
        <w:r>
          <w:rPr>
            <w:rStyle w:val="Hyperlink"/>
            <w:rFonts w:ascii="Times New Roman" w:hAnsi="Times New Roman"/>
            <w:b w:val="false"/>
            <w:i w:val="false"/>
            <w:color w:val="000000"/>
            <w:sz w:val="22"/>
          </w:rPr>
          <w:t>281—102.3</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val="false"/>
          <w:color w:val="000000"/>
          <w:sz w:val="22"/>
        </w:rPr>
        <w:t>If, in the investigator’s opinion, the magnitude of the allegations in the report suggests immediate and professional investigation is necessary, the designated investigator may temporarily defer the level-one investigation. In cases of deferred investigation, the investigator shall contact appropriate law enforcement officials, the student’s parent or guardian and the person filing the report, if different from the student’s parent or guardian, documenting in writing the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interview the allegedly abused student, any witnesses or persons who may have knowledge of the circumstances contained in the report, and the school employee named in the report. The investigator will exercise prudent discretion in the investigative process to preserve the privacy interests of the individuals involved. To the maximum extent possible, the investigator shall maintain the confidentiality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investigator’s role is not to determine the guilt or innocence of the school employee, the applicability of the exceptions or reasonableness of the contact or force listed in rule </w:t>
      </w:r>
      <w:hyperlink r:id="rId15">
        <w:r>
          <w:rPr>
            <w:rStyle w:val="Hyperlink"/>
            <w:rFonts w:ascii="Times New Roman" w:hAnsi="Times New Roman"/>
            <w:b w:val="false"/>
            <w:i w:val="false"/>
            <w:color w:val="000000"/>
            <w:sz w:val="22"/>
          </w:rPr>
          <w:t>281—102.4</w:t>
        </w:r>
      </w:hyperlink>
      <w:r>
        <w:rPr>
          <w:rFonts w:ascii="Times New Roman" w:hAnsi="Times New Roman"/>
          <w:b w:val="false"/>
          <w:i w:val="false"/>
          <w:color w:val="000000"/>
          <w:sz w:val="22"/>
        </w:rPr>
        <w:t xml:space="preserve">(280). The designated investigator shall determine, by a preponderance of the evidence, whether it is likely that an incident took place between the student and the school employee. However, if the complaint has been withdrawn, the allegation recanted, or the employee has resigned, admitted the violation, or agreed to relinquish the employee’s teacher’s certificate or license, the designated investigator may, but need not, conclude the investigation at level one. The designated investigator will follow the applicable provisions of paragraphs </w:t>
      </w:r>
      <w:hyperlink r:id="rId16">
        <w:r>
          <w:rPr>
            <w:rStyle w:val="Hyperlink"/>
            <w:rFonts w:ascii="Times New Roman" w:hAnsi="Times New Roman"/>
            <w:b w:val="false"/>
            <w:i w:val="false"/>
            <w:color w:val="000000"/>
            <w:sz w:val="22"/>
          </w:rPr>
          <w:t>102.11(2)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when resolution occurs at level one.</w:t>
      </w:r>
    </w:p>
    <w:p>
      <w:pPr>
        <w:spacing w:before="0" w:after="0"/>
        <w:ind w:left="120"/>
        <w:jc w:val="both"/>
      </w:pPr>
      <w:r>
        <w:rPr>
          <w:rFonts w:ascii="Times New Roman" w:hAnsi="Times New Roman"/>
          <w:b w:val="false"/>
          <w:i w:val="false"/>
          <w:color w:val="000000"/>
          <w:sz w:val="22"/>
        </w:rPr>
        <w:t xml:space="preserve">The level-two investigator appointed, contracted, requested or retained under </w:t>
      </w:r>
      <w:hyperlink r:id="rId17">
        <w:r>
          <w:rPr>
            <w:rStyle w:val="Hyperlink"/>
            <w:rFonts w:ascii="Times New Roman" w:hAnsi="Times New Roman"/>
            <w:b w:val="false"/>
            <w:i w:val="false"/>
            <w:color w:val="000000"/>
            <w:sz w:val="22"/>
          </w:rPr>
          <w:t>subrule 102.5(2)</w:t>
        </w:r>
      </w:hyperlink>
      <w:r>
        <w:rPr>
          <w:rFonts w:ascii="Times New Roman" w:hAnsi="Times New Roman"/>
          <w:b w:val="false"/>
          <w:i w:val="false"/>
          <w:color w:val="000000"/>
          <w:sz w:val="22"/>
        </w:rPr>
        <w:t xml:space="preserve">, when called upon for further investigation, will consider the applicability of the exceptions listed in rule </w:t>
      </w:r>
      <w:hyperlink r:id="rId18">
        <w:r>
          <w:rPr>
            <w:rStyle w:val="Hyperlink"/>
            <w:rFonts w:ascii="Times New Roman" w:hAnsi="Times New Roman"/>
            <w:b w:val="false"/>
            <w:i w:val="false"/>
            <w:color w:val="000000"/>
            <w:sz w:val="22"/>
          </w:rPr>
          <w:t>281—102.4</w:t>
        </w:r>
      </w:hyperlink>
      <w:r>
        <w:rPr>
          <w:rFonts w:ascii="Times New Roman" w:hAnsi="Times New Roman"/>
          <w:b w:val="false"/>
          <w:i w:val="false"/>
          <w:color w:val="000000"/>
          <w:sz w:val="22"/>
        </w:rPr>
        <w:t xml:space="preserve">(280) and the reasonableness of the contact or force used under subrule </w:t>
      </w:r>
      <w:hyperlink r:id="rId19">
        <w:r>
          <w:rPr>
            <w:rStyle w:val="Hyperlink"/>
            <w:rFonts w:ascii="Times New Roman" w:hAnsi="Times New Roman"/>
            <w:b w:val="false"/>
            <w:i w:val="false"/>
            <w:color w:val="000000"/>
            <w:sz w:val="22"/>
          </w:rPr>
          <w:t>102.4(2)</w:t>
        </w:r>
      </w:hyperlink>
      <w:r>
        <w:rPr>
          <w:rFonts w:ascii="Times New Roman" w:hAnsi="Times New Roman"/>
          <w:b w:val="false"/>
          <w:i w:val="false"/>
          <w:color w:val="000000"/>
          <w:sz w:val="22"/>
        </w:rPr>
        <w:t xml:space="preserve"> in reaching conclusions as to the occurrence of physical abuse as defined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102.8(6)</w:t>
      </w:r>
      <w:r>
        <w:rPr>
          <w:rFonts w:ascii="Times New Roman" w:hAnsi="Times New Roman"/>
          <w:b w:val="false"/>
          <w:i w:val="false"/>
          <w:color w:val="000000"/>
          <w:sz w:val="22"/>
        </w:rPr>
        <w:t> </w:t>
      </w:r>
      <w:r>
        <w:rPr>
          <w:rFonts w:ascii="Times New Roman" w:hAnsi="Times New Roman"/>
          <w:b w:val="false"/>
          <w:i w:val="false"/>
          <w:color w:val="000000"/>
          <w:sz w:val="22"/>
        </w:rPr>
        <w:t>Within 15 calendar days of receipt of the report, the designated investigator will complete a written investigative report, unless investigation was temporarily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281—102.9</w:t>
      </w:r>
      <w:r>
        <w:rPr>
          <w:rFonts w:ascii="Times New Roman" w:hAnsi="Times New Roman"/>
          <w:b/>
          <w:i w:val="false"/>
          <w:color w:val="000000"/>
          <w:sz w:val="22"/>
        </w:rPr>
        <w:t xml:space="preserve">(280) </w:t>
      </w:r>
      <w:r>
        <w:rPr>
          <w:rFonts w:ascii="Times New Roman" w:hAnsi="Times New Roman"/>
          <w:b/>
          <w:i w:val="false"/>
          <w:color w:val="000000"/>
          <w:sz w:val="22"/>
        </w:rPr>
        <w:t xml:space="preserve">Duties of designated investigator—sexual abuse allegations.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report, the designated investigator will make and provide a copy of the report to the person filing the report, to the student’s parent or guardian if different from the person filing the report, and to the supervisor of the employee named in the report. The school employee named in the report shall receive a copy of the report at the time the employee is initially interviewed by any investigator. However, if this action would conflict with the terms of a contractual agreement between the employer and employee, the terms of the contract control. The designated investigator shall not interview the school employee named in a report of sexual abuse until after a determination that jurisdiction exists is made, the allegedly abused student has been interviewed, and a determination is made that the investigation will not be deferred under subrule </w:t>
      </w:r>
      <w:hyperlink r:id="rId20">
        <w:r>
          <w:rPr>
            <w:rStyle w:val="Hyperlink"/>
            <w:rFonts w:ascii="Times New Roman" w:hAnsi="Times New Roman"/>
            <w:b w:val="false"/>
            <w:i w:val="false"/>
            <w:color w:val="000000"/>
            <w:sz w:val="22"/>
          </w:rPr>
          <w:t>102.9(5)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report of sexual abuse or other notice of an allegation of sexual abuse, the designated investigator shall review the facts alleged to determine that the allegations, if true, support the exercise of jurisdiction pursuant to rule </w:t>
      </w:r>
      <w:hyperlink r:id="rId21">
        <w:r>
          <w:rPr>
            <w:rStyle w:val="Hyperlink"/>
            <w:rFonts w:ascii="Times New Roman" w:hAnsi="Times New Roman"/>
            <w:b w:val="false"/>
            <w:i w:val="false"/>
            <w:color w:val="000000"/>
            <w:sz w:val="22"/>
          </w:rPr>
          <w:t>281—102.3</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notify the parent, guardian, or legal custodian of a child in prekindergarten through grade six of the date and time of the interview and of the right to be present or to see and hear the interview or to send a representative in the parent’s, guardian’s, or legal custodian’s place. The investigator shall interview the allegedly abused student as soon as possible, but in no case later than five days from the receipt of a report or notice of the allegation of sexual abuse. The investigator may record the interview electronically.</w:t>
      </w:r>
    </w:p>
    <w:p>
      <w:pPr>
        <w:spacing w:before="0" w:after="0"/>
        <w:ind w:left="120"/>
        <w:jc w:val="both"/>
      </w:pPr>
      <w:r>
        <w:rPr>
          <w:rFonts w:ascii="Times New Roman" w:hAnsi="Times New Roman"/>
          <w:b w:val="false"/>
          <w:i w:val="false"/>
          <w:color w:val="000000"/>
          <w:sz w:val="22"/>
        </w:rPr>
        <w:t>The investigator shall exercise prudent discretion in the investigative process to preserve the privacy interests of the individuals involved. To the maximum extent possible, the investigator shall maintain the confidentiality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designated investigator’s role is not to determine the guilt or innocence of the school employee. The designated investigator shall determine, by a preponderance of the evidence and based upon the investigator’s training and experience and the credibility of the student, whether it is likely that an incident took place between the student and the school employee. However, if the complaint has been withdrawn, the allegation recanted, or the employee has resigned, admitted the violation, or agreed to relinquish the employee’s teacher’s certificate or license, the designated investigator may, but need not, conclude the investigation at level one. The designated investigator will follow the applicable provisions of paragraphs </w:t>
      </w:r>
      <w:hyperlink r:id="rId22">
        <w:r>
          <w:rPr>
            <w:rStyle w:val="Hyperlink"/>
            <w:rFonts w:ascii="Times New Roman" w:hAnsi="Times New Roman"/>
            <w:b w:val="false"/>
            <w:i w:val="false"/>
            <w:color w:val="000000"/>
            <w:sz w:val="22"/>
          </w:rPr>
          <w:t>102.11(2)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when resolution occurs at level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investigator’s opinion, it is likely that an incident in the nature of sexual abuse as defined by Iowa Code chapter </w:t>
      </w:r>
      <w:hyperlink r:id="rId23">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section </w:t>
      </w:r>
      <w:hyperlink r:id="rId24">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xml:space="preserve"> took place, the investigator shall temporarily defer further level-one investigation. In cases of deferred investigation, the investigator shall immediately contact appropriate law enforcement officials, notifying the student’s parent or guardian, and the person filing the report, if different from the student’s parent or guardian, of the action taken.</w:t>
      </w:r>
    </w:p>
    <w:p>
      <w:pPr>
        <w:spacing w:before="0" w:after="0"/>
        <w:ind w:left="120"/>
        <w:jc w:val="both"/>
      </w:pPr>
      <w:r>
        <w:rPr>
          <w:rFonts w:ascii="Times New Roman" w:hAnsi="Times New Roman"/>
          <w:b w:val="false"/>
          <w:i w:val="false"/>
          <w:color w:val="000000"/>
          <w:sz w:val="22"/>
        </w:rPr>
        <w:t xml:space="preserve">If, in the investigator’s opinion, an incident occurred that would not constitute sexual abuse as defined in Iowa Code chapter </w:t>
      </w:r>
      <w:hyperlink r:id="rId25">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sexual exploitation as defined by Iowa Code section </w:t>
      </w:r>
      <w:hyperlink r:id="rId26">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but that was in the nature of inappropriate, intentional sexual behavior by the school employee, further investigation is warranted. The investigator may proceed to interview the school employee named in the report. Prior to interviewing any collateral sources who may have knowledge of the circumstance contained in the report, the investigator will provide notice of the impending interview of student witnesses who are in prekindergarten through grade six, to their parent, guardian, or legal custodian, and may provide notice to the parent or guardian of older students, prior to interviewing those students.</w:t>
      </w:r>
    </w:p>
    <w:p>
      <w:pPr>
        <w:spacing w:before="0" w:after="0"/>
        <w:ind w:left="120"/>
        <w:jc w:val="both"/>
      </w:pPr>
      <w:r>
        <w:rPr>
          <w:rFonts w:ascii="Times New Roman" w:hAnsi="Times New Roman"/>
          <w:b w:val="false"/>
          <w:i w:val="false"/>
          <w:color w:val="000000"/>
          <w:sz w:val="22"/>
        </w:rPr>
        <w:t>If, in the investigator’s opinion, the allegation of sexual abuse is unfounded either because the conduct did not occur or the conduct did not meet the definition of abuse in these rules, further investigation is not warranted. The investigator shall notify the student’s parent or guardian, the person filing the report, if different from the student’s parent or guardian, and the school employee named in the report of this conclusion in a written investigative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102.9(6)</w:t>
      </w:r>
      <w:r>
        <w:rPr>
          <w:rFonts w:ascii="Times New Roman" w:hAnsi="Times New Roman"/>
          <w:b w:val="false"/>
          <w:i w:val="false"/>
          <w:color w:val="000000"/>
          <w:sz w:val="22"/>
        </w:rPr>
        <w:t> </w:t>
      </w:r>
      <w:r>
        <w:rPr>
          <w:rFonts w:ascii="Times New Roman" w:hAnsi="Times New Roman"/>
          <w:b w:val="false"/>
          <w:i w:val="false"/>
          <w:color w:val="000000"/>
          <w:sz w:val="22"/>
        </w:rPr>
        <w:t>Within 15 calendar days of receipt of the report or notice of alleged sexual abuse, the designated investigator will complete a written investigation report unless the investigation was temporarily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281—102.10</w:t>
      </w:r>
      <w:r>
        <w:rPr>
          <w:rFonts w:ascii="Times New Roman" w:hAnsi="Times New Roman"/>
          <w:b/>
          <w:i w:val="false"/>
          <w:color w:val="000000"/>
          <w:sz w:val="22"/>
        </w:rPr>
        <w:t xml:space="preserve">(280) </w:t>
      </w:r>
      <w:r>
        <w:rPr>
          <w:rFonts w:ascii="Times New Roman" w:hAnsi="Times New Roman"/>
          <w:b/>
          <w:i w:val="false"/>
          <w:color w:val="000000"/>
          <w:sz w:val="22"/>
        </w:rPr>
        <w:t xml:space="preserve">Content of investigative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val="false"/>
          <w:color w:val="000000"/>
          <w:sz w:val="22"/>
        </w:rPr>
        <w:t>The written investigative report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age, address, and attendance center of the student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student’s parent or guardian and the name and address of the person filing the report, if different from the student’s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work address of the school employee named in the report as allegedly responsible for the abuse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nature, extent, and cause, if known, of any injuries or abuse to the student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review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actions taken for the protection and safety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in the investigator’s opinion, the allegations in the report are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Unfounded. (It is not likely that an incident, as defined in these rules, took place),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Founded. (It is likely that an incident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disposition or current status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listing of the options available to the parents or guardian of the student to pursue the allegations. These options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Contacting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Contacting private counsel for the purpose of filing a civil suit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Filing a complaint with the board of educational examiners if the school employee is certificated.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val="false"/>
          <w:color w:val="000000"/>
          <w:sz w:val="22"/>
        </w:rPr>
        <w:t>The investigator shall retain the original and provide a copy of the investigative report to the school employee named in the report, the school employee’s supervisor and the named student’s parent or guardian. The person filing the report, if not the student’s parent or guardian, shall be notified only that the level-one investigation has been concluded and of the disposition or anticipated disposition of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281—102.11</w:t>
      </w:r>
      <w:r>
        <w:rPr>
          <w:rFonts w:ascii="Times New Roman" w:hAnsi="Times New Roman"/>
          <w:b/>
          <w:i w:val="false"/>
          <w:color w:val="000000"/>
          <w:sz w:val="22"/>
        </w:rPr>
        <w:t xml:space="preserve">(280) </w:t>
      </w:r>
      <w:r>
        <w:rPr>
          <w:rFonts w:ascii="Times New Roman" w:hAnsi="Times New Roman"/>
          <w:b/>
          <w:i w:val="false"/>
          <w:color w:val="000000"/>
          <w:sz w:val="22"/>
        </w:rPr>
        <w:t xml:space="preserve">Founded reports—designated investigator’s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shall notify law enforcement authorities in founded cases of serious physical abuse and in any founded case of sexual abuse under Iowa Code chapter </w:t>
      </w:r>
      <w:hyperlink r:id="rId27">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sexual exploitation under Iowa Code section </w:t>
      </w:r>
      <w:hyperlink r:id="rId28">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In founded cases of less serious physical incidents or sexual incidents not in the nature of statutory sexual abuse or exploitation as defined by Iowa law, the investigator shall arrange for the level-two investigator to carry out a professional investigation unless the level-one investigation has resulted in a final disposition of the investigation. In addition, the designated investigator shall give a copy of the investigative report to the employee’s supervisor and document all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level-two investigator’s report under rule </w:t>
      </w:r>
      <w:hyperlink r:id="rId29">
        <w:r>
          <w:rPr>
            <w:rStyle w:val="Hyperlink"/>
            <w:rFonts w:ascii="Times New Roman" w:hAnsi="Times New Roman"/>
            <w:b w:val="false"/>
            <w:i w:val="false"/>
            <w:color w:val="000000"/>
            <w:sz w:val="22"/>
          </w:rPr>
          <w:t>281—102.12</w:t>
        </w:r>
      </w:hyperlink>
      <w:r>
        <w:rPr>
          <w:rFonts w:ascii="Times New Roman" w:hAnsi="Times New Roman"/>
          <w:b w:val="false"/>
          <w:i w:val="false"/>
          <w:color w:val="000000"/>
          <w:sz w:val="22"/>
        </w:rPr>
        <w:t>(280) or upon resolution of the investigation at level one, the designated investigator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Forward copies of the level-two investigator’s report to the student’s parent or guardian, the school employee named in the complaint, and the school employee’s supervisor; notify the person filing the report, if different from the student’s parent or guardian, of the disposition of the case or current status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 a complaint against the school employee who has been found to have physically or sexually abused a student, if that employee holds a teaching certificate, coaching authorization, or practitioner license, with the board on behalf of the school or district by obtaining the superintendent’s signature on the complaint in cases where the level-two investigator or law enforcement officials have concluded abuse occurred as defined in these rules or where the employee has admitted the violation or agreed to surrender the employee’s certificate or license. The designated investigator has discretion to file a complaint with the board in situations where the employee has resigned as a result of the allegation or investigation but has not admitted that a violation occurred. In the event an employee holding a school bus driver permit has been found to have physically or sexually abused a student, the designated investigator shall file a written complaint with the school transportation consultant at the department of education; the designated investigator shall file a written complaint with the local school board in founded cases involving other nonlicensed school employees;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Arrange for counseling services for the student on request of the student, or the student’s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281—102.12</w:t>
      </w:r>
      <w:r>
        <w:rPr>
          <w:rFonts w:ascii="Times New Roman" w:hAnsi="Times New Roman"/>
          <w:b/>
          <w:i w:val="false"/>
          <w:color w:val="000000"/>
          <w:sz w:val="22"/>
        </w:rPr>
        <w:t xml:space="preserve">(280) </w:t>
      </w:r>
      <w:r>
        <w:rPr>
          <w:rFonts w:ascii="Times New Roman" w:hAnsi="Times New Roman"/>
          <w:b/>
          <w:i w:val="false"/>
          <w:color w:val="000000"/>
          <w:sz w:val="22"/>
        </w:rPr>
        <w:t xml:space="preserve">Level-two investigator’s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referral by the designated investigator, the level-two investigator appointed, contracted, requested or retained under subrule </w:t>
      </w:r>
      <w:hyperlink r:id="rId30">
        <w:r>
          <w:rPr>
            <w:rStyle w:val="Hyperlink"/>
            <w:rFonts w:ascii="Times New Roman" w:hAnsi="Times New Roman"/>
            <w:b w:val="false"/>
            <w:i w:val="false"/>
            <w:color w:val="000000"/>
            <w:sz w:val="22"/>
          </w:rPr>
          <w:t>102.5(2)</w:t>
        </w:r>
      </w:hyperlink>
      <w:r>
        <w:rPr>
          <w:rFonts w:ascii="Times New Roman" w:hAnsi="Times New Roman"/>
          <w:b w:val="false"/>
          <w:i w:val="false"/>
          <w:color w:val="000000"/>
          <w:sz w:val="22"/>
        </w:rPr>
        <w:t xml:space="preserve"> shall review the report of abuse and the designated investigator’s report, if any, promptly conduct further investigation and create a written narrative report. The level-two investigator’s report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Conclusions as to the occurrence of the alleged incident;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Conclusions as to the applicability of the exceptions to physical abuse listed in rule </w:t>
      </w:r>
      <w:hyperlink r:id="rId31">
        <w:r>
          <w:rPr>
            <w:rStyle w:val="Hyperlink"/>
            <w:rFonts w:ascii="Times New Roman" w:hAnsi="Times New Roman"/>
            <w:b w:val="false"/>
            <w:i w:val="false"/>
            <w:color w:val="000000"/>
            <w:sz w:val="22"/>
          </w:rPr>
          <w:t>281—102.4</w:t>
        </w:r>
      </w:hyperlink>
      <w:r>
        <w:rPr>
          <w:rFonts w:ascii="Times New Roman" w:hAnsi="Times New Roman"/>
          <w:b w:val="false"/>
          <w:i w:val="false"/>
          <w:color w:val="000000"/>
          <w:sz w:val="22"/>
        </w:rPr>
        <w:t>(280);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Conclusions as to the nature of the sexual abuse,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Recommendations regarding the need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delivered to the designated investigator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val="false"/>
          <w:color w:val="000000"/>
          <w:sz w:val="22"/>
        </w:rPr>
        <w:t>The level-two investigator shall exercise prudent discretion in the investigative process to preserve the privacy interests of the individuals involved. To the maximum extent possible, the level-two investigator shall maintain the confidentiality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281—102.13</w:t>
      </w:r>
      <w:r>
        <w:rPr>
          <w:rFonts w:ascii="Times New Roman" w:hAnsi="Times New Roman"/>
          <w:b/>
          <w:i w:val="false"/>
          <w:color w:val="000000"/>
          <w:sz w:val="22"/>
        </w:rPr>
        <w:t xml:space="preserve">(280) </w:t>
      </w:r>
      <w:r>
        <w:rPr>
          <w:rFonts w:ascii="Times New Roman" w:hAnsi="Times New Roman"/>
          <w:b/>
          <w:i w:val="false"/>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Any record created by an investigation will be handled according to formally adopted or bargained policies on the maintenance of personnel or other confidential records. Notes, tapes, memoranda, and related materials compiled in the investigation will be retained by the public or nonpublic school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Unfounded reports shall not be placed in an employee’s personnel file. If a report is founded at level one and unfounded at level two, the founded report from the level-one investigator shall be removed immediately upon receipt of an unfounded report from the level-two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281—102.14</w:t>
      </w:r>
      <w:r>
        <w:rPr>
          <w:rFonts w:ascii="Times New Roman" w:hAnsi="Times New Roman"/>
          <w:b/>
          <w:i w:val="false"/>
          <w:color w:val="000000"/>
          <w:sz w:val="22"/>
        </w:rPr>
        <w:t xml:space="preserve">(280) </w:t>
      </w:r>
      <w:r>
        <w:rPr>
          <w:rFonts w:ascii="Times New Roman" w:hAnsi="Times New Roman"/>
          <w:b/>
          <w:i w:val="false"/>
          <w:color w:val="000000"/>
          <w:sz w:val="22"/>
        </w:rPr>
        <w:t xml:space="preserve">Substantial compliance. </w:t>
      </w:r>
      <w:r>
        <w:rPr>
          <w:rFonts w:ascii="Times New Roman" w:hAnsi="Times New Roman"/>
          <w:b w:val="false"/>
          <w:i w:val="false"/>
          <w:color w:val="000000"/>
          <w:sz w:val="22"/>
        </w:rPr>
        <w:t>Because investigative procedures seldom allow for rigid observance of the protocol, substantial compliance with the rules is required with the overriding goal of reaching a fair and unbiased resolution of the complaint.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MATTERS OCCURRING ON OR AFTER JULY 1, 2025</w:t>
      </w:r>
    </w:p>
    <w:p>
      <w:pPr>
        <w:spacing w:before="0" w:after="0"/>
        <w:ind w:left="120"/>
        <w:jc w:val="both"/>
      </w:pPr>
      <w:r>
        <w:rPr>
          <w:rFonts w:ascii="Times New Roman" w:hAnsi="Times New Roman"/>
          <w:b/>
          <w:i w:val="false"/>
          <w:color w:val="000000"/>
          <w:sz w:val="22"/>
        </w:rPr>
        <w:t>281—102.15</w:t>
      </w:r>
      <w:r>
        <w:rPr>
          <w:rFonts w:ascii="Times New Roman" w:hAnsi="Times New Roman"/>
          <w:b/>
          <w:i w:val="false"/>
          <w:color w:val="000000"/>
          <w:sz w:val="22"/>
        </w:rPr>
        <w:t xml:space="preserve">(232E,280)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a public school district and the authorities in charge of a nonpublic school shall comply with Iowa Code chapter </w:t>
      </w:r>
      <w:hyperlink r:id="rId32">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659</w:t>
      </w:r>
      <w:r>
        <w:rPr>
          <w:rFonts w:ascii="Times New Roman" w:hAnsi="Times New Roman"/>
          <w:b w:val="false"/>
          <w:i w:val="false"/>
          <w:color w:val="000000"/>
          <w:sz w:val="22"/>
        </w:rPr>
        <w:t xml:space="preserve"> (Senate File 659), and any rules adopted by the department of health and human services to implement Iowa Code chapter </w:t>
      </w:r>
      <w:hyperlink r:id="rId33">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 and cooperate with the department of health and human services during an investigation commenced under Iowa Code chapter </w:t>
      </w:r>
      <w:hyperlink r:id="rId34">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 including providing access to student records and making students and staff available for interviews. For the purposes of this chapter, “public school district” includes a charter school authorized under Iowa Code chapter </w:t>
      </w:r>
      <w:hyperlink r:id="rId35">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37">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 as well as any rules adopted by the department of health and human services are incorporated by this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281—102.16</w:t>
      </w:r>
      <w:r>
        <w:rPr>
          <w:rFonts w:ascii="Times New Roman" w:hAnsi="Times New Roman"/>
          <w:b/>
          <w:i w:val="false"/>
          <w:color w:val="000000"/>
          <w:sz w:val="22"/>
        </w:rPr>
        <w:t xml:space="preserve">(232E,280) </w:t>
      </w:r>
      <w:r>
        <w:rPr>
          <w:rFonts w:ascii="Times New Roman" w:hAnsi="Times New Roman"/>
          <w:b/>
          <w:i w:val="false"/>
          <w:color w:val="000000"/>
          <w:sz w:val="22"/>
        </w:rPr>
        <w:t xml:space="preserve">Duty to report alleged abuse. </w:t>
      </w:r>
      <w:r>
        <w:rPr>
          <w:rFonts w:ascii="Times New Roman" w:hAnsi="Times New Roman"/>
          <w:b w:val="false"/>
          <w:i w:val="false"/>
          <w:color w:val="000000"/>
          <w:sz w:val="22"/>
        </w:rPr>
        <w:t xml:space="preserve">In addition to any other reporting obligations, if any school employee has reason to believe that any school employee committed student abuse, the school employee with such reason to believe is obligated to report the alleged abuse in a manner required by Iowa Code chapter </w:t>
      </w:r>
      <w:hyperlink r:id="rId38">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281—102.17</w:t>
      </w:r>
      <w:r>
        <w:rPr>
          <w:rFonts w:ascii="Times New Roman" w:hAnsi="Times New Roman"/>
          <w:b/>
          <w:i w:val="false"/>
          <w:color w:val="000000"/>
          <w:sz w:val="22"/>
        </w:rPr>
        <w:t xml:space="preserve">(232E,280) </w:t>
      </w:r>
      <w:r>
        <w:rPr>
          <w:rFonts w:ascii="Times New Roman" w:hAnsi="Times New Roman"/>
          <w:b/>
          <w:i w:val="false"/>
          <w:color w:val="000000"/>
          <w:sz w:val="22"/>
        </w:rPr>
        <w:t xml:space="preserve">Termination of school employee.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a public school district or the authorities in charge of a nonpublic school shall terminate the employment of a school employee if the board of directors or authorities in charge receive a written investigation report under Iowa Code section </w:t>
      </w:r>
      <w:hyperlink r:id="rId39">
        <w:r>
          <w:rPr>
            <w:rStyle w:val="Hyperlink"/>
            <w:rFonts w:ascii="Times New Roman" w:hAnsi="Times New Roman"/>
            <w:b w:val="false"/>
            <w:i w:val="false"/>
            <w:color w:val="000000"/>
            <w:sz w:val="22"/>
          </w:rPr>
          <w:t>232E.2(5)</w:t>
        </w:r>
      </w:hyperlink>
      <w:r>
        <w:rPr>
          <w:rFonts w:ascii="Times New Roman" w:hAnsi="Times New Roman"/>
          <w:b w:val="false"/>
          <w:i w:val="false"/>
          <w:color w:val="000000"/>
          <w:sz w:val="22"/>
        </w:rPr>
        <w:t xml:space="preserve"> as enacted by Senate File 659 indicating the department of health and human services has determined the school employee committed student abuse, after exhaustion of any appeal rights that the school employee has under Iowa Code chapter </w:t>
      </w:r>
      <w:hyperlink r:id="rId40">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provisions under Iowa Code chapter </w:t>
      </w:r>
      <w:hyperlink r:id="rId41">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apply to a termination under subrule </w:t>
      </w:r>
      <w:hyperlink r:id="rId42">
        <w:r>
          <w:rPr>
            <w:rStyle w:val="Hyperlink"/>
            <w:rFonts w:ascii="Times New Roman" w:hAnsi="Times New Roman"/>
            <w:b w:val="false"/>
            <w:i w:val="false"/>
            <w:color w:val="000000"/>
            <w:sz w:val="22"/>
          </w:rPr>
          <w:t>102.17(1)</w:t>
        </w:r>
      </w:hyperlink>
      <w:r>
        <w:rPr>
          <w:rFonts w:ascii="Times New Roman" w:hAnsi="Times New Roman"/>
          <w:b w:val="false"/>
          <w:i w:val="false"/>
          <w:color w:val="000000"/>
          <w:sz w:val="22"/>
        </w:rPr>
        <w:t xml:space="preserve">, those provisions remain applicable; however, a finding under subrule </w:t>
      </w:r>
      <w:hyperlink r:id="rId43">
        <w:r>
          <w:rPr>
            <w:rStyle w:val="Hyperlink"/>
            <w:rFonts w:ascii="Times New Roman" w:hAnsi="Times New Roman"/>
            <w:b w:val="false"/>
            <w:i w:val="false"/>
            <w:color w:val="000000"/>
            <w:sz w:val="22"/>
          </w:rPr>
          <w:t>102.17(1)</w:t>
        </w:r>
      </w:hyperlink>
      <w:r>
        <w:rPr>
          <w:rFonts w:ascii="Times New Roman" w:hAnsi="Times New Roman"/>
          <w:b w:val="false"/>
          <w:i w:val="false"/>
          <w:color w:val="000000"/>
          <w:sz w:val="22"/>
        </w:rPr>
        <w:t xml:space="preserve"> is conclusive on the issue of whether the employee committed student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281—102.18</w:t>
      </w:r>
      <w:r>
        <w:rPr>
          <w:rFonts w:ascii="Times New Roman" w:hAnsi="Times New Roman"/>
          <w:b/>
          <w:i w:val="false"/>
          <w:color w:val="000000"/>
          <w:sz w:val="22"/>
        </w:rPr>
        <w:t xml:space="preserve">(232E,280) </w:t>
      </w:r>
      <w:r>
        <w:rPr>
          <w:rFonts w:ascii="Times New Roman" w:hAnsi="Times New Roman"/>
          <w:b/>
          <w:i w:val="false"/>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102.18(1)</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chapter is to be construed as limiting the authority of a public school district or the authorities in charge of a nonpublic school to the procedures set forth in Iowa Code chapter </w:t>
      </w:r>
      <w:hyperlink r:id="rId44">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 from investigating a complaint that does not meet the threshold of student abuse as determined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102.18(2)</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is to be construed as limiting the authority of a public school district or the authorities in charge of a nonpublic school in circumstances where the department of health and human services does not make a finding of abuse from investigating a complaint that does not meet the threshold of student abuse as determined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9813C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5">
        <w:r>
          <w:rPr>
            <w:rStyle w:val="Hyperlink"/>
            <w:rFonts w:ascii="Times New Roman" w:hAnsi="Times New Roman"/>
            <w:b w:val="false"/>
            <w:i w:val="false"/>
            <w:color w:val="000000"/>
            <w:sz w:val="22"/>
          </w:rPr>
          <w:t>280.17</w:t>
        </w:r>
      </w:hyperlink>
      <w:r>
        <w:rPr>
          <w:rFonts w:ascii="Times New Roman" w:hAnsi="Times New Roman"/>
          <w:b w:val="false"/>
          <w:i w:val="false"/>
          <w:color w:val="000000"/>
          <w:sz w:val="22"/>
        </w:rPr>
        <w:t xml:space="preserve"> as amended by Senate File 659 and chapter </w:t>
      </w:r>
      <w:hyperlink r:id="rId46">
        <w:r>
          <w:rPr>
            <w:rStyle w:val="Hyperlink"/>
            <w:rFonts w:ascii="Times New Roman" w:hAnsi="Times New Roman"/>
            <w:b w:val="false"/>
            <w:i w:val="false"/>
            <w:color w:val="000000"/>
            <w:sz w:val="22"/>
          </w:rPr>
          <w:t>232E</w:t>
        </w:r>
      </w:hyperlink>
      <w:r>
        <w:rPr>
          <w:rFonts w:ascii="Times New Roman" w:hAnsi="Times New Roman"/>
          <w:b w:val="false"/>
          <w:i w:val="false"/>
          <w:color w:val="000000"/>
          <w:sz w:val="22"/>
        </w:rPr>
        <w:t xml:space="preserve"> as enacted by Senate File 659.</w:t>
      </w:r>
    </w:p>
    <w:p>
      <w:pPr>
        <w:spacing w:before="0" w:after="0"/>
        <w:ind w:left="120"/>
        <w:jc w:val="center"/>
      </w:pPr>
      <w:r>
        <w:rPr>
          <w:rFonts w:ascii="Times New Roman" w:hAnsi="Times New Roman"/>
          <w:b w:val="false"/>
          <w:i w:val="false"/>
          <w:color w:val="000000"/>
          <w:sz w:val="21"/>
        </w:rPr>
        <w:t>[Filed 2/10/89, Notice 12/28/88—published 3/8/89, effective 7/1/89]</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11/16/89, Notice 10/4/89—published 12/13/89, effective 1/17/90]</w:t>
      </w:r>
    </w:p>
    <w:p>
      <w:pPr>
        <w:spacing w:before="0" w:after="0"/>
        <w:ind w:left="120"/>
        <w:jc w:val="center"/>
      </w:pPr>
      <w:r>
        <w:rPr>
          <w:rFonts w:ascii="Times New Roman" w:hAnsi="Times New Roman"/>
          <w:b w:val="false"/>
          <w:i w:val="false"/>
          <w:color w:val="000000"/>
          <w:sz w:val="21"/>
        </w:rPr>
        <w:t>[Filed 8/14/90, Notice 6/27/90—published 9/5/90, effective 10/10/90]</w:t>
      </w:r>
    </w:p>
    <w:p>
      <w:pPr>
        <w:spacing w:before="0" w:after="0"/>
        <w:ind w:left="120"/>
        <w:jc w:val="center"/>
      </w:pPr>
      <w:r>
        <w:rPr>
          <w:rFonts w:ascii="Times New Roman" w:hAnsi="Times New Roman"/>
          <w:b w:val="false"/>
          <w:i w:val="false"/>
          <w:color w:val="000000"/>
          <w:sz w:val="21"/>
        </w:rPr>
        <w:t>[Filed 11/19/92, Notice 9/30/92—published 12/9/92, effective 1/13/93]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ARC 9377B</w:t>
      </w:r>
      <w:r>
        <w:rPr>
          <w:rFonts w:ascii="Times New Roman" w:hAnsi="Times New Roman"/>
          <w:b w:val="false"/>
          <w:i w:val="false"/>
          <w:color w:val="000000"/>
          <w:sz w:val="21"/>
        </w:rPr>
        <w:t xml:space="preserve"> (Notice ARC 9268B,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9905B</w:t>
      </w:r>
      <w:r>
        <w:rPr>
          <w:rFonts w:ascii="Times New Roman" w:hAnsi="Times New Roman"/>
          <w:b w:val="false"/>
          <w:i w:val="false"/>
          <w:color w:val="000000"/>
          <w:sz w:val="21"/>
        </w:rPr>
        <w:t xml:space="preserve"> (Notice ARC 9794B,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7803C</w:t>
      </w:r>
      <w:r>
        <w:rPr>
          <w:rFonts w:ascii="Times New Roman" w:hAnsi="Times New Roman"/>
          <w:b w:val="false"/>
          <w:i w:val="false"/>
          <w:color w:val="000000"/>
          <w:sz w:val="21"/>
        </w:rPr>
        <w:t xml:space="preserve"> (Notice ARC 7599C,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9813C</w:t>
      </w:r>
      <w:r>
        <w:rPr>
          <w:rFonts w:ascii="Times New Roman" w:hAnsi="Times New Roman"/>
          <w:b w:val="false"/>
          <w:i w:val="false"/>
          <w:color w:val="000000"/>
          <w:sz w:val="21"/>
        </w:rPr>
        <w:t xml:space="preserve"> (Notice ARC 9597C, IAB 10/1/25)</w:t>
      </w:r>
      <w:r>
        <w:rPr>
          <w:rFonts w:ascii="Times New Roman" w:hAnsi="Times New Roman"/>
          <w:b w:val="false"/>
          <w:i w:val="false"/>
          <w:color w:val="000000"/>
          <w:sz w:val="21"/>
        </w:rPr>
        <w:t>, IAB 12/10/25, effective 1/14/26]</w:t>
      </w:r>
    </w:p>
    <w:p>
      <w:pPr>
        <w:pBdr>
          <w:bottom w:space="2"/>
        </w:pBdr>
        <w:spacing w:before="0" w:after="0"/>
        <w:ind w:left="120"/>
        <w:jc w:val="both"/>
      </w:pPr>
      <w:r>
        <w:rPr>
          <w:rFonts w:ascii="Times New Roman" w:hAnsi="Times New Roman"/>
          <w:b w:val="false"/>
          <w:i w:val="false"/>
          <w:color w:val="000000"/>
          <w:sz w:val="22"/>
        </w:rPr>
        <w:t>Effective date of the following delayed seventy days by the Administrative Rules Review Committee at its meeting held January 5, 1993: 102.2(280), definitions of “Abuse,” “Board of educational examiners,” “Incident,” “Injury,” “Sexual harassment”; 102.3(280); 102.4(2), introductory paragraph; 102.8(5); 102.9(1), first sentence; 102.9(3), introductory paragraph; 102.9(4); 102.9(5), first and second unnumbered paragraphs; 102.10(280)“7”; 102.10(280), last paragraph; 102.11(280)“2”; 102.12(280), introductory paragraph; new 102.14(280); delay lifted by the Committee on February 8, 1993, effective February 9, 1993.</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9.pdf" Type="http://schemas.openxmlformats.org/officeDocument/2006/relationships/hyperlink" Id="rId5"/>
    <Relationship TargetMode="External" Target="https://www.legis.iowa.gov/docs/ico/chapter/728.12.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279.49.pdf" Type="http://schemas.openxmlformats.org/officeDocument/2006/relationships/hyperlink" Id="rId9"/>
    <Relationship TargetMode="External" Target="https://www.legis.iowa.gov/docs/iac/rule/281.102.10.pdf" Type="http://schemas.openxmlformats.org/officeDocument/2006/relationships/hyperlink" Id="rId10"/>
    <Relationship TargetMode="External" Target="https://www.legis.iowa.gov/docs/ico/chapter/704.3.pdf" Type="http://schemas.openxmlformats.org/officeDocument/2006/relationships/hyperlink" Id="rId11"/>
    <Relationship TargetMode="External" Target="https://www.legis.iowa.gov/docs/ico/chapter/704.4.pdf" Type="http://schemas.openxmlformats.org/officeDocument/2006/relationships/hyperlink" Id="rId12"/>
    <Relationship TargetMode="External" Target="https://www.legis.iowa.gov/docs/iac/rule/281.102.3.pdf" Type="http://schemas.openxmlformats.org/officeDocument/2006/relationships/hyperlink" Id="rId13"/>
    <Relationship TargetMode="External" Target="https://www.legis.iowa.gov/docs/iac/rule/281.102.3.pdf" Type="http://schemas.openxmlformats.org/officeDocument/2006/relationships/hyperlink" Id="rId14"/>
    <Relationship TargetMode="External" Target="https://www.legis.iowa.gov/docs/iac/rule/281.102.4.pdf" Type="http://schemas.openxmlformats.org/officeDocument/2006/relationships/hyperlink" Id="rId15"/>
    <Relationship TargetMode="External" Target="https://www.legis.iowa.gov/docs/iac/rule/281.102.11.pdf" Type="http://schemas.openxmlformats.org/officeDocument/2006/relationships/hyperlink" Id="rId16"/>
    <Relationship TargetMode="External" Target="https://www.legis.iowa.gov/docs/iac/rule/281.102.5.pdf" Type="http://schemas.openxmlformats.org/officeDocument/2006/relationships/hyperlink" Id="rId17"/>
    <Relationship TargetMode="External" Target="https://www.legis.iowa.gov/docs/iac/rule/281.102.4.pdf" Type="http://schemas.openxmlformats.org/officeDocument/2006/relationships/hyperlink" Id="rId18"/>
    <Relationship TargetMode="External" Target="https://www.legis.iowa.gov/docs/iac/rule/281.102.4.pdf" Type="http://schemas.openxmlformats.org/officeDocument/2006/relationships/hyperlink" Id="rId19"/>
    <Relationship TargetMode="External" Target="https://www.legis.iowa.gov/docs/iac/rule/281.102.9.pdf" Type="http://schemas.openxmlformats.org/officeDocument/2006/relationships/hyperlink" Id="rId20"/>
    <Relationship TargetMode="External" Target="https://www.legis.iowa.gov/docs/iac/rule/281.102.3.pdf" Type="http://schemas.openxmlformats.org/officeDocument/2006/relationships/hyperlink" Id="rId21"/>
    <Relationship TargetMode="External" Target="https://www.legis.iowa.gov/docs/iac/rule/281.102.11.pdf" Type="http://schemas.openxmlformats.org/officeDocument/2006/relationships/hyperlink" Id="rId22"/>
    <Relationship TargetMode="External" Target="https://www.legis.iowa.gov/docs/ico/chapter/709.pdf" Type="http://schemas.openxmlformats.org/officeDocument/2006/relationships/hyperlink" Id="rId23"/>
    <Relationship TargetMode="External" Target="https://www.legis.iowa.gov/docs/iac/rule/281.728.12.pdf" Type="http://schemas.openxmlformats.org/officeDocument/2006/relationships/hyperlink" Id="rId24"/>
    <Relationship TargetMode="External" Target="https://www.legis.iowa.gov/docs/ico/chapter/709.pdf" Type="http://schemas.openxmlformats.org/officeDocument/2006/relationships/hyperlink" Id="rId25"/>
    <Relationship TargetMode="External" Target="https://www.legis.iowa.gov/docs/ico/chapter/728.12.pdf" Type="http://schemas.openxmlformats.org/officeDocument/2006/relationships/hyperlink" Id="rId26"/>
    <Relationship TargetMode="External" Target="https://www.legis.iowa.gov/docs/ico/chapter/709.pdf" Type="http://schemas.openxmlformats.org/officeDocument/2006/relationships/hyperlink" Id="rId27"/>
    <Relationship TargetMode="External" Target="https://www.legis.iowa.gov/docs/ico/chapter/728.12.pdf" Type="http://schemas.openxmlformats.org/officeDocument/2006/relationships/hyperlink" Id="rId28"/>
    <Relationship TargetMode="External" Target="https://www.legis.iowa.gov/docs/iac/rule/281.102.12.pdf" Type="http://schemas.openxmlformats.org/officeDocument/2006/relationships/hyperlink" Id="rId29"/>
    <Relationship TargetMode="External" Target="https://www.legis.iowa.gov/docs/iac/rule/281.102.5.pdf" Type="http://schemas.openxmlformats.org/officeDocument/2006/relationships/hyperlink" Id="rId30"/>
    <Relationship TargetMode="External" Target="https://www.legis.iowa.gov/docs/iac/rule/281.102.4.pdf" Type="http://schemas.openxmlformats.org/officeDocument/2006/relationships/hyperlink" Id="rId31"/>
    <Relationship TargetMode="External" Target="https://www.legis.iowa.gov/docs/ico/chapter/232E.pdf" Type="http://schemas.openxmlformats.org/officeDocument/2006/relationships/hyperlink" Id="rId32"/>
    <Relationship TargetMode="External" Target="https://www.legis.iowa.gov/docs/ico/chapter/232E.pdf" Type="http://schemas.openxmlformats.org/officeDocument/2006/relationships/hyperlink" Id="rId33"/>
    <Relationship TargetMode="External" Target="https://www.legis.iowa.gov/docs/ico/chapter/232E.pdf" Type="http://schemas.openxmlformats.org/officeDocument/2006/relationships/hyperlink" Id="rId34"/>
    <Relationship TargetMode="External" Target="https://www.legis.iowa.gov/docs/ico/chapter/256E.pdf" Type="http://schemas.openxmlformats.org/officeDocument/2006/relationships/hyperlink" Id="rId35"/>
    <Relationship TargetMode="External" Target="https://www.legis.iowa.gov/docs/ico/chapter/256F.pdf" Type="http://schemas.openxmlformats.org/officeDocument/2006/relationships/hyperlink" Id="rId36"/>
    <Relationship TargetMode="External" Target="https://www.legis.iowa.gov/docs/ico/chapter/232E.pdf" Type="http://schemas.openxmlformats.org/officeDocument/2006/relationships/hyperlink" Id="rId37"/>
    <Relationship TargetMode="External" Target="https://www.legis.iowa.gov/docs/ico/chapter/232E.pdf" Type="http://schemas.openxmlformats.org/officeDocument/2006/relationships/hyperlink" Id="rId38"/>
    <Relationship TargetMode="External" Target="https://www.legis.iowa.gov/docs/ico/chapter/232E.2.pdf" Type="http://schemas.openxmlformats.org/officeDocument/2006/relationships/hyperlink" Id="rId39"/>
    <Relationship TargetMode="External" Target="https://www.legis.iowa.gov/docs/ico/chapter/232E.pdf" Type="http://schemas.openxmlformats.org/officeDocument/2006/relationships/hyperlink" Id="rId40"/>
    <Relationship TargetMode="External" Target="https://www.legis.iowa.gov/docs/ico/chapter/279.pdf" Type="http://schemas.openxmlformats.org/officeDocument/2006/relationships/hyperlink" Id="rId41"/>
    <Relationship TargetMode="External" Target="https://www.legis.iowa.gov/docs/iac/rule/281.102.17.pdf" Type="http://schemas.openxmlformats.org/officeDocument/2006/relationships/hyperlink" Id="rId42"/>
    <Relationship TargetMode="External" Target="https://www.legis.iowa.gov/docs/iac/rule/281.102.17.pdf" Type="http://schemas.openxmlformats.org/officeDocument/2006/relationships/hyperlink" Id="rId43"/>
    <Relationship TargetMode="External" Target="https://www.legis.iowa.gov/docs/ico/chapter/232E.pdf" Type="http://schemas.openxmlformats.org/officeDocument/2006/relationships/hyperlink" Id="rId44"/>
    <Relationship TargetMode="External" Target="https://www.legis.iowa.gov/docs/ico/chapter/280.17.pdf" Type="http://schemas.openxmlformats.org/officeDocument/2006/relationships/hyperlink" Id="rId45"/>
    <Relationship TargetMode="External" Target="https://www.legis.iowa.gov/docs/ico/chapter/232E.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