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INFORMATION—</w:t>
      </w:r>
      <w:r>
        <w:br/>
      </w:r>
      <w:r>
        <w:rPr>
          <w:rFonts w:ascii="Times New Roman" w:hAnsi="Times New Roman"/>
          <w:b w:val="false"/>
          <w:i/>
          <w:color w:val="000000"/>
          <w:sz w:val="16"/>
        </w:rPr>
        <w:t>DEPARTMENT OPERATIONS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9/7/88, see Public Instruction Department[670] Ch 49]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281—1.1</w:t>
      </w:r>
      <w:r>
        <w:rPr>
          <w:rFonts w:ascii="Times New Roman" w:hAnsi="Times New Roman"/>
          <w:b/>
          <w:i w:val="false"/>
          <w:color w:val="000000"/>
          <w:sz w:val="22"/>
        </w:rPr>
        <w:t xml:space="preserve">(17A,256) </w:t>
      </w:r>
      <w:r>
        <w:rPr>
          <w:rFonts w:ascii="Times New Roman" w:hAnsi="Times New Roman"/>
          <w:b/>
          <w:i w:val="false"/>
          <w:color w:val="000000"/>
          <w:sz w:val="22"/>
        </w:rPr>
        <w:t xml:space="preserve">State board of education. </w:t>
      </w:r>
      <w:r>
        <w:rPr>
          <w:rFonts w:ascii="Times New Roman" w:hAnsi="Times New Roman"/>
          <w:b w:val="false"/>
          <w:i w:val="false"/>
          <w:color w:val="000000"/>
          <w:sz w:val="22"/>
        </w:rPr>
        <w:t xml:space="preserve">The state board of education, authorized by Iowa Code chapter </w:t>
      </w:r>
      <w:hyperlink r:id="rId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is the governing and policy-forming body for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state board’s membership is governed by Iowa Code sections </w:t>
      </w:r>
      <w:hyperlink r:id="rId6">
        <w:r>
          <w:rPr>
            <w:rStyle w:val="Hyperlink"/>
            <w:rFonts w:ascii="Times New Roman" w:hAnsi="Times New Roman"/>
            <w:b w:val="false"/>
            <w:i w:val="false"/>
            <w:color w:val="000000"/>
            <w:sz w:val="22"/>
          </w:rPr>
          <w:t>256.3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board’s meetings are governed by Iowa Code section </w:t>
      </w:r>
      <w:hyperlink r:id="rId8">
        <w:r>
          <w:rPr>
            <w:rStyle w:val="Hyperlink"/>
            <w:rFonts w:ascii="Times New Roman" w:hAnsi="Times New Roman"/>
            <w:b w:val="false"/>
            <w:i w:val="false"/>
            <w:color w:val="000000"/>
            <w:sz w:val="22"/>
          </w:rPr>
          <w:t>256.6</w:t>
        </w:r>
      </w:hyperlink>
      <w:r>
        <w:rPr>
          <w:rFonts w:ascii="Times New Roman" w:hAnsi="Times New Roman"/>
          <w:b w:val="false"/>
          <w:i w:val="false"/>
          <w:color w:val="000000"/>
          <w:sz w:val="22"/>
        </w:rPr>
        <w:t xml:space="preserve">. The majority of the board’s meetings are held in the State Board Room, Grimes State Office Building, 400 East 14th Street, Des Moines, Iowa 50319. By notice of the regularly published meeting agenda, the board may hold meetings in other areas of the state. The board may hold special meetings as provided in Iowa Code section </w:t>
      </w:r>
      <w:hyperlink r:id="rId9">
        <w:r>
          <w:rPr>
            <w:rStyle w:val="Hyperlink"/>
            <w:rFonts w:ascii="Times New Roman" w:hAnsi="Times New Roman"/>
            <w:b w:val="false"/>
            <w:i w:val="false"/>
            <w:color w:val="000000"/>
            <w:sz w:val="22"/>
          </w:rPr>
          <w:t>256.6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All voting members will receive compensation and reimbursement as provided in Iowa Code section </w:t>
      </w:r>
      <w:hyperlink r:id="rId10">
        <w:r>
          <w:rPr>
            <w:rStyle w:val="Hyperlink"/>
            <w:rFonts w:ascii="Times New Roman" w:hAnsi="Times New Roman"/>
            <w:b w:val="false"/>
            <w:i w:val="false"/>
            <w:color w:val="000000"/>
            <w:sz w:val="22"/>
          </w:rPr>
          <w:t>256.5</w:t>
        </w:r>
      </w:hyperlink>
      <w:r>
        <w:rPr>
          <w:rFonts w:ascii="Times New Roman" w:hAnsi="Times New Roman"/>
          <w:b w:val="false"/>
          <w:i w:val="false"/>
          <w:color w:val="000000"/>
          <w:sz w:val="22"/>
        </w:rPr>
        <w:t xml:space="preserve">. A student member will receive compensation pursuant to Iowa Code section </w:t>
      </w:r>
      <w:hyperlink r:id="rId11">
        <w:r>
          <w:rPr>
            <w:rStyle w:val="Hyperlink"/>
            <w:rFonts w:ascii="Times New Roman" w:hAnsi="Times New Roman"/>
            <w:b w:val="false"/>
            <w:i w:val="false"/>
            <w:color w:val="000000"/>
            <w:sz w:val="22"/>
          </w:rPr>
          <w:t>256.5A(6)</w:t>
        </w:r>
      </w:hyperlink>
      <w:r>
        <w:rPr>
          <w:rFonts w:ascii="Times New Roman" w:hAnsi="Times New Roman"/>
          <w:b w:val="false"/>
          <w:i w:val="false"/>
          <w:color w:val="000000"/>
          <w:sz w:val="22"/>
        </w:rPr>
        <w:t xml:space="preserve">. If a student member’s parent or guardian provides supervision pursuant to subrule </w:t>
      </w:r>
      <w:hyperlink r:id="rId1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the parent or guardian will receive necessary expenses but not a per diem.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Other boards. </w:t>
      </w:r>
      <w:r>
        <w:rPr>
          <w:rFonts w:ascii="Times New Roman" w:hAnsi="Times New Roman"/>
          <w:b w:val="false"/>
          <w:i w:val="false"/>
          <w:color w:val="000000"/>
          <w:sz w:val="22"/>
        </w:rPr>
        <w:t>The Iowa board of educational examiners and the Iowa college student aid commission have rulemaking authority, the rules of which are codified under agency numbers 282 and 283,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w:t>
      </w:r>
      <w:r>
        <w:rPr>
          <w:rFonts w:ascii="Times New Roman" w:hAnsi="Times New Roman"/>
          <w:b/>
          <w:i w:val="false"/>
          <w:color w:val="000000"/>
          <w:sz w:val="22"/>
        </w:rPr>
        <w:t xml:space="preserve">(17A,256) </w:t>
      </w:r>
      <w:r>
        <w:rPr>
          <w:rFonts w:ascii="Times New Roman" w:hAnsi="Times New Roman"/>
          <w:b/>
          <w:i w:val="false"/>
          <w:color w:val="000000"/>
          <w:sz w:val="22"/>
        </w:rPr>
        <w:t xml:space="preserve">Student member of the state board of education. </w:t>
      </w:r>
      <w:r>
        <w:rPr>
          <w:rFonts w:ascii="Times New Roman" w:hAnsi="Times New Roman"/>
          <w:b w:val="false"/>
          <w:i w:val="false"/>
          <w:color w:val="000000"/>
          <w:sz w:val="22"/>
        </w:rPr>
        <w:t>The governor will appoint a public high school student to serve as a nonvoting member of the state board of education pursuant to Iowa Code section</w:t>
      </w:r>
      <w:hyperlink r:id="rId13">
        <w:r>
          <w:rPr>
            <w:rStyle w:val="Hyperlink"/>
            <w:rFonts w:ascii="Times New Roman" w:hAnsi="Times New Roman"/>
            <w:b w:val="false"/>
            <w:i w:val="false"/>
            <w:color w:val="000000"/>
            <w:sz w:val="22"/>
          </w:rPr>
          <w:t> 256.5A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nonvoting student member will serve a term from May 1 to April 30. The student member may serve a second year as the nonvoting student member without having to reapply for the position if the student has another year of high school eligibility remaining before graduation. A vacancy in the membership of the nonvoting student member will not be filled until the expiration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At the time of making application, a qualified nonvoting student member is to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is a full-time, regularly enrolled tenth or eleventh grade student in an Iowa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has been regularly enrolled as a full-time student in the district of present enrollment for at least two consecutive semesters or the equivalent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 has a minimum cumulative grade point average in high school of 3.0 on a 4.0 scale (3.75 on a 5.0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 demonstrates participation in extracurricular and community activities, as well as an interest in serving on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student has the consent of the student’s parent or guardian, as well as the approval of the student’s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The application process for the nonvoting student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on behalf of the state board, prepare and disseminate application forms to all school districts in Iowa. In addition to the application itself, the student will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consent form signed by the student’s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approval of the application signed by the superintendent of the student’s district of enrollment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letter of recommendation from a high school teacher from whom the student received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of recommendation from a person in the community familiar with the student’s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applicants in a year from any one district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district enrollment for grades 10 through 12 is less than 400 students, there may be no more than one applicant from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district enrollment for grades 10 through 12 is between 400 and 1,199 students, there may be no more than two applicants from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district enrollment for grades 10 through 12 is 1,200 students or more, there may be no more than three applicants from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applications are to be submitted on or before February 1 of the year in which the term is to begin. Applications may be hand-delivered or postmarked on or before February 1 to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applications will be initially screened by a committee to be appointed by the director of the department. The initial screening committee will select not more than 20 semifinalists. If fewer than a total of 20 applications are received, the initial screening process may be omitted at the discretion of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applications of the semifinalists will be reviewed by a committee appointed by the president of the state board. The committee will submit a list of two to five finalists to the governor, who will appoint the student member from the list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Participation of student member in official board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appointment to the board, the student member is to, at a minimum, fulfill the following qualifications to remain eligible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enrollment as a full-time student in an Iowa public school district (if the student moves or transfers from the district of application, the student will obtain the approval of the superintendent or the superintendent’s designee in the student’s new district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minimum cumulative grade point average in high school of 3.0 on a 4.0 scale or 3.75 on a 5.0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 regularly scheduled board meetings as required of voting board members. As a nonvoting member, the student will not participate in any closed 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member’s absences from school to participate in official state board activities will be excused absences. The student member’s participation in board activities outside the regularly scheduled meetings of the state board will be approved by the president of the board and the student’s superintendent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student member is a minor, the student’s parent or guardian will accompany the student while the student is participating in official state board activities at a location other than the student’s resident community, unless the parent or guardian submits to the state board a signed release indicating that the parent or guardian has determined that such supervision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nonvoting student member is not considered for purposes of constituting the board’s necessary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281—1.3</w:t>
      </w:r>
      <w:r>
        <w:rPr>
          <w:rFonts w:ascii="Times New Roman" w:hAnsi="Times New Roman"/>
          <w:b/>
          <w:i w:val="false"/>
          <w:color w:val="000000"/>
          <w:sz w:val="22"/>
        </w:rPr>
        <w:t xml:space="preserve">(17A,256) </w:t>
      </w:r>
      <w:r>
        <w:rPr>
          <w:rFonts w:ascii="Times New Roman" w:hAnsi="Times New Roman"/>
          <w:b/>
          <w:i w:val="false"/>
          <w:color w:val="000000"/>
          <w:sz w:val="22"/>
        </w:rPr>
        <w:t xml:space="preserve">Director of the department of education. </w:t>
      </w:r>
      <w:r>
        <w:rPr>
          <w:rFonts w:ascii="Times New Roman" w:hAnsi="Times New Roman"/>
          <w:b w:val="false"/>
          <w:i w:val="false"/>
          <w:color w:val="000000"/>
          <w:sz w:val="22"/>
        </w:rPr>
        <w:t xml:space="preserve">The director is appointed pursuant to Iowa Code section </w:t>
      </w:r>
      <w:hyperlink r:id="rId14">
        <w:r>
          <w:rPr>
            <w:rStyle w:val="Hyperlink"/>
            <w:rFonts w:ascii="Times New Roman" w:hAnsi="Times New Roman"/>
            <w:b w:val="false"/>
            <w:i w:val="false"/>
            <w:color w:val="000000"/>
            <w:sz w:val="22"/>
          </w:rPr>
          <w:t>256.8</w:t>
        </w:r>
      </w:hyperlink>
      <w:r>
        <w:rPr>
          <w:rFonts w:ascii="Times New Roman" w:hAnsi="Times New Roman"/>
          <w:b w:val="false"/>
          <w:i w:val="false"/>
          <w:color w:val="000000"/>
          <w:sz w:val="22"/>
        </w:rPr>
        <w:t xml:space="preserve"> and performs such duties as assigned by the Iowa Code or the Iowa Administrative Code, including Iowa Code section </w:t>
      </w:r>
      <w:hyperlink r:id="rId15">
        <w:r>
          <w:rPr>
            <w:rStyle w:val="Hyperlink"/>
            <w:rFonts w:ascii="Times New Roman" w:hAnsi="Times New Roman"/>
            <w:b w:val="false"/>
            <w:i w:val="false"/>
            <w:color w:val="000000"/>
            <w:sz w:val="22"/>
          </w:rPr>
          <w:t>256.9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w:t>
      </w:r>
      <w:r>
        <w:rPr>
          <w:rFonts w:ascii="Times New Roman" w:hAnsi="Times New Roman"/>
          <w:b/>
          <w:i w:val="false"/>
          <w:color w:val="000000"/>
          <w:sz w:val="22"/>
        </w:rPr>
        <w:t xml:space="preserve">(17A,256) </w:t>
      </w:r>
      <w:r>
        <w:rPr>
          <w:rFonts w:ascii="Times New Roman" w:hAnsi="Times New Roman"/>
          <w:b/>
          <w:i w:val="false"/>
          <w:color w:val="000000"/>
          <w:sz w:val="22"/>
        </w:rPr>
        <w:t xml:space="preserve">Department of education. </w:t>
      </w:r>
      <w:r>
        <w:rPr>
          <w:rFonts w:ascii="Times New Roman" w:hAnsi="Times New Roman"/>
          <w:b w:val="false"/>
          <w:i w:val="false"/>
          <w:color w:val="000000"/>
          <w:sz w:val="22"/>
        </w:rPr>
        <w:t xml:space="preserve">The department of education is established by Iowa Code section </w:t>
      </w:r>
      <w:hyperlink r:id="rId16">
        <w:r>
          <w:rPr>
            <w:rStyle w:val="Hyperlink"/>
            <w:rFonts w:ascii="Times New Roman" w:hAnsi="Times New Roman"/>
            <w:b w:val="false"/>
            <w:i w:val="false"/>
            <w:color w:val="000000"/>
            <w:sz w:val="22"/>
          </w:rPr>
          <w:t>256.1</w:t>
        </w:r>
      </w:hyperlink>
      <w:r>
        <w:rPr>
          <w:rFonts w:ascii="Times New Roman" w:hAnsi="Times New Roman"/>
          <w:b w:val="false"/>
          <w:i w:val="false"/>
          <w:color w:val="000000"/>
          <w:sz w:val="22"/>
        </w:rPr>
        <w:t xml:space="preserve"> to perform the functions and duties set forth in that section, in other Iowa Code provisions, and in the Iowa Administrative Code. The department is organized into such divisions as established by statute, including the innovation division established by 2023 Iowa Acts, Senate File 514, or the director. The mailing address for the state board of education, the director, and all divisions of the department is Grimes State Office Building, 400 East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2/28/77, Notice 12/15/76—published 3/23/77, effective 4/27/77]</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12/14/90—published 1/9/91, effective 12/14/90]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11/19/93, Notice 9/29/93—published 12/8/93, effective 1/12/94]</w:t>
      </w:r>
    </w:p>
    <w:p>
      <w:pPr>
        <w:spacing w:before="0" w:after="0"/>
        <w:ind w:left="120"/>
        <w:jc w:val="center"/>
      </w:pPr>
      <w:r>
        <w:rPr>
          <w:rFonts w:ascii="Times New Roman" w:hAnsi="Times New Roman"/>
          <w:b w:val="false"/>
          <w:i w:val="false"/>
          <w:color w:val="000000"/>
          <w:sz w:val="21"/>
        </w:rPr>
        <w:t>[Filed emergency 11/21/02—published 12/11/02, effective 11/21/02]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ARC 1330C</w:t>
      </w:r>
      <w:r>
        <w:rPr>
          <w:rFonts w:ascii="Times New Roman" w:hAnsi="Times New Roman"/>
          <w:b w:val="false"/>
          <w:i w:val="false"/>
          <w:color w:val="000000"/>
          <w:sz w:val="21"/>
        </w:rPr>
        <w:t xml:space="preserve"> (Notice ARC 1244C,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5645C</w:t>
      </w:r>
      <w:r>
        <w:rPr>
          <w:rFonts w:ascii="Times New Roman" w:hAnsi="Times New Roman"/>
          <w:b w:val="false"/>
          <w:i w:val="false"/>
          <w:color w:val="000000"/>
          <w:sz w:val="21"/>
        </w:rPr>
        <w:t xml:space="preserve"> (Notice ARC 5479C,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7418C</w:t>
      </w:r>
      <w:r>
        <w:rPr>
          <w:rFonts w:ascii="Times New Roman" w:hAnsi="Times New Roman"/>
          <w:b w:val="false"/>
          <w:i w:val="false"/>
          <w:color w:val="000000"/>
          <w:sz w:val="21"/>
        </w:rPr>
        <w:t xml:space="preserve"> (Notice ARC 7082C,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pdf" Type="http://schemas.openxmlformats.org/officeDocument/2006/relationships/hyperlink" Id="rId5"/>
    <Relationship TargetMode="External" Target="https://www.legis.iowa.gov/docs/ico/chapter/256.3.pdf" Type="http://schemas.openxmlformats.org/officeDocument/2006/relationships/hyperlink" Id="rId6"/>
    <Relationship TargetMode="External" Target="https://www.legis.iowa.gov/docs/ico/chapter/256.4.pdf" Type="http://schemas.openxmlformats.org/officeDocument/2006/relationships/hyperlink" Id="rId7"/>
    <Relationship TargetMode="External" Target="https://www.legis.iowa.gov/docs/ico/chapter/256.6.pdf" Type="http://schemas.openxmlformats.org/officeDocument/2006/relationships/hyperlink" Id="rId8"/>
    <Relationship TargetMode="External" Target="https://www.legis.iowa.gov/docs/ico/chapter/256.6.pdf" Type="http://schemas.openxmlformats.org/officeDocument/2006/relationships/hyperlink" Id="rId9"/>
    <Relationship TargetMode="External" Target="https://www.legis.iowa.gov/docs/ico/chapter/256.5.pdf" Type="http://schemas.openxmlformats.org/officeDocument/2006/relationships/hyperlink" Id="rId10"/>
    <Relationship TargetMode="External" Target="https://www.legis.iowa.gov/docs/ico/chapter/256.5A.pdf" Type="http://schemas.openxmlformats.org/officeDocument/2006/relationships/hyperlink" Id="rId11"/>
    <Relationship TargetMode="External" Target="https://www.legis.iowa.gov/docs/iac/rule/281.1.2.pdf" Type="http://schemas.openxmlformats.org/officeDocument/2006/relationships/hyperlink" Id="rId12"/>
    <Relationship TargetMode="External" Target="https://www.legis.iowa.gov/docs/ico/chapter/256.5A.pdf" Type="http://schemas.openxmlformats.org/officeDocument/2006/relationships/hyperlink" Id="rId13"/>
    <Relationship TargetMode="External" Target="https://www.legis.iowa.gov/docs/ico/chapter/256.8.pdf" Type="http://schemas.openxmlformats.org/officeDocument/2006/relationships/hyperlink" Id="rId14"/>
    <Relationship TargetMode="External" Target="https://www.legis.iowa.gov/docs/ico/chapter/256.9.pdf" Type="http://schemas.openxmlformats.org/officeDocument/2006/relationships/hyperlink" Id="rId15"/>
    <Relationship TargetMode="External" Target="https://www.legis.iowa.gov/docs/ico/chapter/256.1.pdf" Type="http://schemas.openxmlformats.org/officeDocument/2006/relationships/hyperlink" Id="rId16"/>
    <Relationship TargetMode="External" Target="https://www.legis.iowa.gov/docs/ico/chapter/17A.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