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AGRICULTURAL DRAINAGE WELLS—ALTERNATIVE DRAINAGE SYSTEM</w:t>
      </w:r>
      <w:r>
        <w:br/>
      </w:r>
      <w:r>
        <w:rPr>
          <w:rFonts w:ascii="Times New Roman" w:hAnsi="Times New Roman"/>
          <w:b w:val="false"/>
          <w:i w:val="false"/>
          <w:color w:val="000000"/>
          <w:sz w:val="21"/>
        </w:rPr>
        <w:t>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27—30.1</w:t>
      </w:r>
      <w:r>
        <w:rPr>
          <w:rFonts w:ascii="Times New Roman" w:hAnsi="Times New Roman"/>
          <w:b w:val="false"/>
          <w:i w:val="false"/>
          <w:color w:val="000000"/>
          <w:sz w:val="22"/>
        </w:rPr>
        <w:t xml:space="preserve"> to </w:t>
      </w:r>
      <w:r>
        <w:rPr>
          <w:rFonts w:ascii="Times New Roman" w:hAnsi="Times New Roman"/>
          <w:b/>
          <w:i w:val="false"/>
          <w:color w:val="000000"/>
          <w:sz w:val="22"/>
        </w:rPr>
        <w:t>30.9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27—30.10</w:t>
      </w:r>
      <w:r>
        <w:rPr>
          <w:rFonts w:ascii="Times New Roman" w:hAnsi="Times New Roman"/>
          <w:b/>
          <w:i w:val="false"/>
          <w:color w:val="000000"/>
          <w:sz w:val="22"/>
        </w:rPr>
        <w:t xml:space="preserve">(161A,460)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establishes procedures and standards to be followed by the division of soil conservation and water quality, Iowa department of agriculture and land stewardship, in accordance with the policies of the state soil conservation and water quality committee in implementing the agricultural drainage wells — alternative drainage system assistance program. This program provides financial assistance for closing agricultural drainage wells and constructing alternative drainage systems that are part of a drainage district. These rules establish the assistance program, provide for the allocation of assistance funds, and establish procedures and standards for eligibility to receive assistance under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27—30.11</w:t>
      </w:r>
      <w:r>
        <w:rPr>
          <w:rFonts w:ascii="Times New Roman" w:hAnsi="Times New Roman"/>
          <w:b/>
          <w:i w:val="false"/>
          <w:color w:val="000000"/>
          <w:sz w:val="22"/>
        </w:rPr>
        <w:t xml:space="preserve">(161A,460) </w:t>
      </w:r>
      <w:r>
        <w:rPr>
          <w:rFonts w:ascii="Times New Roman" w:hAnsi="Times New Roman"/>
          <w:b/>
          <w:i w:val="false"/>
          <w:color w:val="000000"/>
          <w:sz w:val="22"/>
        </w:rPr>
        <w:t xml:space="preserve">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invalid provision or application, and to this end the provisions of these rules or subrules are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27—30.12</w:t>
      </w:r>
      <w:r>
        <w:rPr>
          <w:rFonts w:ascii="Times New Roman" w:hAnsi="Times New Roman"/>
          <w:b w:val="false"/>
          <w:i w:val="false"/>
          <w:color w:val="000000"/>
          <w:sz w:val="22"/>
        </w:rPr>
        <w:t xml:space="preserve"> to </w:t>
      </w:r>
      <w:r>
        <w:rPr>
          <w:rFonts w:ascii="Times New Roman" w:hAnsi="Times New Roman"/>
          <w:b/>
          <w:i w:val="false"/>
          <w:color w:val="000000"/>
          <w:sz w:val="22"/>
        </w:rPr>
        <w:t>30.19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27—30.20</w:t>
      </w:r>
      <w:r>
        <w:rPr>
          <w:rFonts w:ascii="Times New Roman" w:hAnsi="Times New Roman"/>
          <w:b/>
          <w:i w:val="false"/>
          <w:color w:val="000000"/>
          <w:sz w:val="22"/>
        </w:rPr>
        <w:t xml:space="preserve">(161A,460)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w:t>
      </w:r>
      <w:r>
        <w:rPr>
          <w:rFonts w:ascii="Times New Roman" w:hAnsi="Times New Roman"/>
          <w:b w:val="false"/>
          <w:i w:val="false"/>
          <w:color w:val="000000"/>
          <w:sz w:val="22"/>
        </w:rPr>
        <w:t>means a vertical opening to an aquifer or permeable substratum which is constructed by any means including but not limited to drilling, driving, digging, boring, augering, jetting, washing, or coring, and which is capable of intercepting or receiving surface or subsurface drainage water from land directly or by a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area” </w:t>
      </w:r>
      <w:r>
        <w:rPr>
          <w:rFonts w:ascii="Times New Roman" w:hAnsi="Times New Roman"/>
          <w:b w:val="false"/>
          <w:i w:val="false"/>
          <w:color w:val="000000"/>
          <w:sz w:val="22"/>
        </w:rPr>
        <w:t>means an area of land where surface or subsurface water drains into an agricultural drainage well directly or through a drainage system connecting to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drainage system” </w:t>
      </w:r>
      <w:r>
        <w:rPr>
          <w:rFonts w:ascii="Times New Roman" w:hAnsi="Times New Roman"/>
          <w:b w:val="false"/>
          <w:i w:val="false"/>
          <w:color w:val="000000"/>
          <w:sz w:val="22"/>
        </w:rPr>
        <w:t>means a drainage system constructed as part of a drainage district in order to drain surface or subsurface water from land due to the closing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agricultural drainage well area” </w:t>
      </w:r>
      <w:r>
        <w:rPr>
          <w:rFonts w:ascii="Times New Roman" w:hAnsi="Times New Roman"/>
          <w:b w:val="false"/>
          <w:i w:val="false"/>
          <w:color w:val="000000"/>
          <w:sz w:val="22"/>
        </w:rPr>
        <w:t>means an agricultural drainage well area in which there is located an anaerobic lagoon or earthen manure storage basin required to obtain a construction permit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soil conservation and water quality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district” </w:t>
      </w:r>
      <w:r>
        <w:rPr>
          <w:rFonts w:ascii="Times New Roman" w:hAnsi="Times New Roman"/>
          <w:b w:val="false"/>
          <w:i w:val="false"/>
          <w:color w:val="000000"/>
          <w:sz w:val="22"/>
        </w:rPr>
        <w:t xml:space="preserve">means a drainage district established pursuant to Iowa Code chapter </w:t>
      </w:r>
      <w:hyperlink r:id="rId5">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system” </w:t>
      </w:r>
      <w:r>
        <w:rPr>
          <w:rFonts w:ascii="Times New Roman" w:hAnsi="Times New Roman"/>
          <w:b w:val="false"/>
          <w:i w:val="false"/>
          <w:color w:val="000000"/>
          <w:sz w:val="22"/>
        </w:rPr>
        <w:t>means tile lines, laterals, surface inlets, or other improvements which are constructed to facilitate the drainage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storage structure” </w:t>
      </w:r>
      <w:r>
        <w:rPr>
          <w:rFonts w:ascii="Times New Roman" w:hAnsi="Times New Roman"/>
          <w:b w:val="false"/>
          <w:i w:val="false"/>
          <w:color w:val="000000"/>
          <w:sz w:val="22"/>
        </w:rPr>
        <w:t>means an earthen cavity, either covered or uncovered, including but not limited to an anaerobic lagoon or earthen manure storage basin which is used to store manure, sewage, wastewater, industrial waste, or other waste regulated by the department of natural resources, if stored in a liquid or semiliquid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w:t>
      </w:r>
      <w:r>
        <w:rPr>
          <w:rFonts w:ascii="Times New Roman" w:hAnsi="Times New Roman"/>
          <w:b w:val="false"/>
          <w:i w:val="false"/>
          <w:color w:val="000000"/>
          <w:sz w:val="22"/>
        </w:rPr>
        <w:t>means land which is used or which is suitable for use for any purpose, if the land is located within an agricultural drainage well area which includes land used or suitable for use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“Noncrop acres” </w:t>
      </w:r>
      <w:r>
        <w:rPr>
          <w:rFonts w:ascii="Times New Roman" w:hAnsi="Times New Roman"/>
          <w:b w:val="false"/>
          <w:i w:val="false"/>
          <w:color w:val="000000"/>
          <w:sz w:val="22"/>
        </w:rPr>
        <w:t xml:space="preserve">means a land tract as identified in the assessment schedule in the report of the classification commission adopted at public hearing pursuant to Iowa Code sections </w:t>
      </w:r>
      <w:hyperlink r:id="rId6">
        <w:r>
          <w:rPr>
            <w:rStyle w:val="Hyperlink"/>
            <w:rFonts w:ascii="Times New Roman" w:hAnsi="Times New Roman"/>
            <w:b w:val="false"/>
            <w:i w:val="false"/>
            <w:color w:val="000000"/>
            <w:sz w:val="22"/>
          </w:rPr>
          <w:t>468.44 through 468.46</w:t>
        </w:r>
      </w:hyperlink>
      <w:r>
        <w:rPr>
          <w:rFonts w:ascii="Times New Roman" w:hAnsi="Times New Roman"/>
          <w:b w:val="false"/>
          <w:i w:val="false"/>
          <w:color w:val="000000"/>
          <w:sz w:val="22"/>
        </w:rPr>
        <w:t xml:space="preserve"> which is not predominantly used for row crop production. Areas used for wetland mitigation shall not be considered in determining predominant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“Watershed area” </w:t>
      </w:r>
      <w:r>
        <w:rPr>
          <w:rFonts w:ascii="Times New Roman" w:hAnsi="Times New Roman"/>
          <w:b w:val="false"/>
          <w:i w:val="false"/>
          <w:color w:val="000000"/>
          <w:sz w:val="22"/>
        </w:rPr>
        <w:t>means the benefited land area of a drainage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27—30.21</w:t>
      </w:r>
      <w:r>
        <w:rPr>
          <w:rFonts w:ascii="Times New Roman" w:hAnsi="Times New Roman"/>
          <w:b w:val="false"/>
          <w:i w:val="false"/>
          <w:color w:val="000000"/>
          <w:sz w:val="22"/>
        </w:rPr>
        <w:t xml:space="preserve"> to </w:t>
      </w:r>
      <w:r>
        <w:rPr>
          <w:rFonts w:ascii="Times New Roman" w:hAnsi="Times New Roman"/>
          <w:b/>
          <w:i w:val="false"/>
          <w:color w:val="000000"/>
          <w:sz w:val="22"/>
        </w:rPr>
        <w:t>30.29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27—30.30</w:t>
      </w:r>
      <w:r>
        <w:rPr>
          <w:rFonts w:ascii="Times New Roman" w:hAnsi="Times New Roman"/>
          <w:b/>
          <w:i w:val="false"/>
          <w:color w:val="000000"/>
          <w:sz w:val="22"/>
        </w:rPr>
        <w:t xml:space="preserve">(161A,460) </w:t>
      </w:r>
      <w:r>
        <w:rPr>
          <w:rFonts w:ascii="Times New Roman" w:hAnsi="Times New Roman"/>
          <w:b/>
          <w:i w:val="false"/>
          <w:color w:val="000000"/>
          <w:sz w:val="22"/>
        </w:rPr>
        <w:t xml:space="preserve">Appropriations. </w:t>
      </w:r>
      <w:r>
        <w:rPr>
          <w:rFonts w:ascii="Times New Roman" w:hAnsi="Times New Roman"/>
          <w:b w:val="false"/>
          <w:i w:val="false"/>
          <w:color w:val="000000"/>
          <w:sz w:val="22"/>
        </w:rPr>
        <w:t xml:space="preserve">Moneys shall be used to provide financial assistance under the program and to defray expenses by the division in administering the program. However, not more than 1 percent of the fund may be used to defray administrative expenses of the division. Moneys which are unobligated at the end of the fiscal year shall not revert but will be available during subsequent fiscal years of the program. Moneys earned as income, including interest, from the fund shall remain in the fund until expended, notwithstanding Iowa Code section </w:t>
      </w:r>
      <w:hyperlink r:id="rId7">
        <w:r>
          <w:rPr>
            <w:rStyle w:val="Hyperlink"/>
            <w:rFonts w:ascii="Times New Roman" w:hAnsi="Times New Roman"/>
            <w:b w:val="false"/>
            <w:i w:val="false"/>
            <w:color w:val="000000"/>
            <w:sz w:val="22"/>
          </w:rPr>
          <w:t>12C.7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27—30.31</w:t>
      </w:r>
      <w:r>
        <w:rPr>
          <w:rFonts w:ascii="Times New Roman" w:hAnsi="Times New Roman"/>
          <w:b/>
          <w:i w:val="false"/>
          <w:color w:val="000000"/>
          <w:sz w:val="22"/>
        </w:rPr>
        <w:t xml:space="preserve">(161A,460) </w:t>
      </w:r>
      <w:r>
        <w:rPr>
          <w:rFonts w:ascii="Times New Roman" w:hAnsi="Times New Roman"/>
          <w:b/>
          <w:i w:val="false"/>
          <w:color w:val="000000"/>
          <w:sz w:val="22"/>
        </w:rPr>
        <w:t xml:space="preserve">Other funds. </w:t>
      </w:r>
      <w:r>
        <w:rPr>
          <w:rFonts w:ascii="Times New Roman" w:hAnsi="Times New Roman"/>
          <w:b w:val="false"/>
          <w:i w:val="false"/>
          <w:color w:val="000000"/>
          <w:sz w:val="22"/>
        </w:rPr>
        <w:t>Funds for the agricultural drainage wells—alternative drainage system assistance program may be from moneys available to and obtained or accepted by the division or the state soil conservation and water quality committee from the United States or private sources for placement in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27—30.32</w:t>
      </w:r>
      <w:r>
        <w:rPr>
          <w:rFonts w:ascii="Times New Roman" w:hAnsi="Times New Roman"/>
          <w:b w:val="false"/>
          <w:i w:val="false"/>
          <w:color w:val="000000"/>
          <w:sz w:val="22"/>
        </w:rPr>
        <w:t xml:space="preserve"> to </w:t>
      </w:r>
      <w:r>
        <w:rPr>
          <w:rFonts w:ascii="Times New Roman" w:hAnsi="Times New Roman"/>
          <w:b/>
          <w:i w:val="false"/>
          <w:color w:val="000000"/>
          <w:sz w:val="22"/>
        </w:rPr>
        <w:t>30.39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27—30.40</w:t>
      </w:r>
      <w:r>
        <w:rPr>
          <w:rFonts w:ascii="Times New Roman" w:hAnsi="Times New Roman"/>
          <w:b/>
          <w:i w:val="false"/>
          <w:color w:val="000000"/>
          <w:sz w:val="22"/>
        </w:rPr>
        <w:t xml:space="preserve">(161A,460)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Funds will be allocated by the division for specific agricultural drainage well closure and alternative drainage system improvement projects. Allocations shall be 75 percent of the estimated cost of installing the alternative drainage system improvements as defined by Iowa Code section </w:t>
      </w:r>
      <w:hyperlink r:id="rId8">
        <w:r>
          <w:rPr>
            <w:rStyle w:val="Hyperlink"/>
            <w:rFonts w:ascii="Times New Roman" w:hAnsi="Times New Roman"/>
            <w:b w:val="false"/>
            <w:i w:val="false"/>
            <w:color w:val="000000"/>
            <w:sz w:val="22"/>
          </w:rPr>
          <w:t>468.3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30.40(1)</w:t>
      </w:r>
      <w:r>
        <w:rPr>
          <w:rFonts w:ascii="Times New Roman" w:hAnsi="Times New Roman"/>
          <w:b w:val="false"/>
          <w:i w:val="false"/>
          <w:color w:val="000000"/>
          <w:sz w:val="22"/>
        </w:rPr>
        <w:t xml:space="preserve"> and </w:t>
      </w:r>
      <w:r>
        <w:rPr>
          <w:rFonts w:ascii="Times New Roman" w:hAnsi="Times New Roman"/>
          <w:b/>
          <w:i w:val="false"/>
          <w:color w:val="000000"/>
          <w:sz w:val="22"/>
        </w:rPr>
        <w:t>30.40(2)</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10/14/15</w:t>
      </w:r>
      <w:r>
        <w:rPr>
          <w:rFonts w:ascii="Times New Roman" w:hAnsi="Times New Roman"/>
          <w:b w:val="false"/>
          <w:i w:val="false"/>
          <w:color w:val="000000"/>
          <w:sz w:val="22"/>
        </w:rPr>
        <w:t>, effective 11/18/15.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30.40(3)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 allocation. </w:t>
      </w:r>
      <w:r>
        <w:rPr>
          <w:rFonts w:ascii="Times New Roman" w:hAnsi="Times New Roman"/>
          <w:b w:val="false"/>
          <w:i w:val="false"/>
          <w:color w:val="000000"/>
          <w:sz w:val="22"/>
        </w:rPr>
        <w:t xml:space="preserve">Application for fund allocation to a new drainage district shall be submitted to the division by the board of supervisors on behalf of eligible owners of land following receipt of petition to establish a drainage district pursuant to Iowa Code section </w:t>
      </w:r>
      <w:hyperlink r:id="rId9">
        <w:r>
          <w:rPr>
            <w:rStyle w:val="Hyperlink"/>
            <w:rFonts w:ascii="Times New Roman" w:hAnsi="Times New Roman"/>
            <w:b w:val="false"/>
            <w:i w:val="false"/>
            <w:color w:val="000000"/>
            <w:sz w:val="22"/>
          </w:rPr>
          <w:t>468.8</w:t>
        </w:r>
      </w:hyperlink>
      <w:r>
        <w:rPr>
          <w:rFonts w:ascii="Times New Roman" w:hAnsi="Times New Roman"/>
          <w:b w:val="false"/>
          <w:i w:val="false"/>
          <w:color w:val="000000"/>
          <w:sz w:val="22"/>
        </w:rPr>
        <w:t xml:space="preserve"> and before the hearing on establishment pursuant to Iowa Code section </w:t>
      </w:r>
      <w:hyperlink r:id="rId10">
        <w:r>
          <w:rPr>
            <w:rStyle w:val="Hyperlink"/>
            <w:rFonts w:ascii="Times New Roman" w:hAnsi="Times New Roman"/>
            <w:b w:val="false"/>
            <w:i w:val="false"/>
            <w:color w:val="000000"/>
            <w:sz w:val="22"/>
          </w:rPr>
          <w:t>468.22</w:t>
        </w:r>
      </w:hyperlink>
      <w:r>
        <w:rPr>
          <w:rFonts w:ascii="Times New Roman" w:hAnsi="Times New Roman"/>
          <w:b w:val="false"/>
          <w:i w:val="false"/>
          <w:color w:val="000000"/>
          <w:sz w:val="22"/>
        </w:rPr>
        <w:t xml:space="preserve">. Application for fund allocation to an existing drainage district shall be submitted to the division by the district board on behalf of eligible owners of land prior to the hearing on improvement pursuant to Iowa Code section </w:t>
      </w:r>
      <w:hyperlink r:id="rId11">
        <w:r>
          <w:rPr>
            <w:rStyle w:val="Hyperlink"/>
            <w:rFonts w:ascii="Times New Roman" w:hAnsi="Times New Roman"/>
            <w:b w:val="false"/>
            <w:i w:val="false"/>
            <w:color w:val="000000"/>
            <w:sz w:val="22"/>
          </w:rPr>
          <w:t>468.126</w:t>
        </w:r>
      </w:hyperlink>
      <w:r>
        <w:rPr>
          <w:rFonts w:ascii="Times New Roman" w:hAnsi="Times New Roman"/>
          <w:b w:val="false"/>
          <w:i w:val="false"/>
          <w:color w:val="000000"/>
          <w:sz w:val="22"/>
        </w:rPr>
        <w:t>. The application for fund allocation shall be in writing and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Approximate location and boundary of the watershed area served by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Approximate watershed drainage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Expected number of agricultural drainage wells to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Location of any anaerobic lagoon or earthen manure storage basin required to obtain a construction permit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Preliminary cost estimate for the alternative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project time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Anticipated or actual date of establishment of the drainage district under Iowa Code section </w:t>
      </w:r>
      <w:hyperlink r:id="rId12">
        <w:r>
          <w:rPr>
            <w:rStyle w:val="Hyperlink"/>
            <w:rFonts w:ascii="Times New Roman" w:hAnsi="Times New Roman"/>
            <w:b w:val="false"/>
            <w:i w:val="false"/>
            <w:color w:val="000000"/>
            <w:sz w:val="22"/>
          </w:rPr>
          <w:t>468.22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27—30.41</w:t>
      </w:r>
      <w:r>
        <w:rPr>
          <w:rFonts w:ascii="Times New Roman" w:hAnsi="Times New Roman"/>
          <w:b w:val="false"/>
          <w:i w:val="false"/>
          <w:color w:val="000000"/>
          <w:sz w:val="22"/>
        </w:rPr>
        <w:t xml:space="preserve"> to </w:t>
      </w:r>
      <w:r>
        <w:rPr>
          <w:rFonts w:ascii="Times New Roman" w:hAnsi="Times New Roman"/>
          <w:b/>
          <w:i w:val="false"/>
          <w:color w:val="000000"/>
          <w:sz w:val="22"/>
        </w:rPr>
        <w:t>30.49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27—30.50</w:t>
      </w:r>
      <w:r>
        <w:rPr>
          <w:rFonts w:ascii="Times New Roman" w:hAnsi="Times New Roman"/>
          <w:b/>
          <w:i w:val="false"/>
          <w:color w:val="000000"/>
          <w:sz w:val="22"/>
        </w:rPr>
        <w:t xml:space="preserve">(161A,460) </w:t>
      </w:r>
      <w:r>
        <w:rPr>
          <w:rFonts w:ascii="Times New Roman" w:hAnsi="Times New Roman"/>
          <w:b/>
          <w:i w:val="false"/>
          <w:color w:val="000000"/>
          <w:sz w:val="22"/>
        </w:rPr>
        <w:t xml:space="preserve">Eligibility. </w:t>
      </w:r>
      <w:r>
        <w:rPr>
          <w:rFonts w:ascii="Times New Roman" w:hAnsi="Times New Roman"/>
          <w:b w:val="false"/>
          <w:i w:val="false"/>
          <w:color w:val="000000"/>
          <w:sz w:val="22"/>
        </w:rPr>
        <w:t>Financial assistance from the program will be limited by the criteria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30.50(1)</w:t>
      </w:r>
      <w:r>
        <w:rPr>
          <w:rFonts w:ascii="Times New Roman" w:hAnsi="Times New Roman"/>
          <w:b w:val="false"/>
          <w:i w:val="false"/>
          <w:color w:val="000000"/>
          <w:sz w:val="22"/>
        </w:rPr>
        <w:t> </w:t>
      </w:r>
      <w:r>
        <w:rPr>
          <w:rFonts w:ascii="Times New Roman" w:hAnsi="Times New Roman"/>
          <w:b w:val="false"/>
          <w:i/>
          <w:color w:val="000000"/>
          <w:sz w:val="22"/>
        </w:rPr>
        <w:t xml:space="preserve">Cost-share rate. </w:t>
      </w:r>
      <w:r>
        <w:rPr>
          <w:rFonts w:ascii="Times New Roman" w:hAnsi="Times New Roman"/>
          <w:b w:val="false"/>
          <w:i w:val="false"/>
          <w:color w:val="000000"/>
          <w:sz w:val="22"/>
        </w:rPr>
        <w:t>Except for the cost of wetland restoration projects with permanent easements, cost-share payments from the fund shall not exceed 75 percent of the estimated cost or 75 percent of the actual cost of the project,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30.50(2)</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Project costs eligible for financial assistance cost sharing from the fund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costs normally incidental to the costs of a drainage district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Tile or channel 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Laterals.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Associated excavations, backfilling, tile line cradling materials, and junctions.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of improvements as defined by Iowa Code section </w:t>
      </w:r>
      <w:hyperlink r:id="rId13">
        <w:r>
          <w:rPr>
            <w:rStyle w:val="Hyperlink"/>
            <w:rFonts w:ascii="Times New Roman" w:hAnsi="Times New Roman"/>
            <w:b w:val="false"/>
            <w:i w:val="false"/>
            <w:color w:val="000000"/>
            <w:sz w:val="22"/>
          </w:rPr>
          <w:t>468.3</w:t>
        </w:r>
      </w:hyperlink>
      <w:r>
        <w:rPr>
          <w:rFonts w:ascii="Times New Roman" w:hAnsi="Times New Roman"/>
          <w:b w:val="false"/>
          <w:i w:val="false"/>
          <w:color w:val="000000"/>
          <w:sz w:val="22"/>
        </w:rPr>
        <w:t xml:space="preserv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Administrative, legal and publication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Engineering design, construction inspection and contract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wetland mitigation required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of connection lines from mains or laterals of the drainage district to the terminus of in-field drains at the existing wellheads of the agricultural drainage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closure and plugging of agricultural drainage wells in accordance with </w:t>
      </w:r>
      <w:hyperlink r:id="rId14">
        <w:r>
          <w:rPr>
            <w:rStyle w:val="Hyperlink"/>
            <w:rFonts w:ascii="Times New Roman" w:hAnsi="Times New Roman"/>
            <w:b w:val="false"/>
            <w:i w:val="false"/>
            <w:color w:val="000000"/>
            <w:sz w:val="22"/>
          </w:rPr>
          <w:t>567 IAC 39</w:t>
        </w:r>
      </w:hyperlink>
      <w:r>
        <w:rPr>
          <w:rFonts w:ascii="Times New Roman" w:hAnsi="Times New Roman"/>
          <w:b w:val="false"/>
          <w:i w:val="false"/>
          <w:color w:val="000000"/>
          <w:sz w:val="22"/>
        </w:rPr>
        <w:t>, Requirements for Properly Plugging Abandoned Wells, or by an alternative method approved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for removal of agricultural drainage well cisterns in accordance with applicable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Costs for the purchase of permanent easements for the wetland restoration if the easements are more cost-effective than the construction of alternative drainage systems and all directly impacted landowners agree to grant permanent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Construction costs for wetland restoration projects with permanent easements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Tile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Installation of water level maintenance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Associated excavation, grading and seeding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30.50(3)</w:t>
      </w:r>
      <w:r>
        <w:rPr>
          <w:rFonts w:ascii="Times New Roman" w:hAnsi="Times New Roman"/>
          <w:b w:val="false"/>
          <w:i w:val="false"/>
          <w:color w:val="000000"/>
          <w:sz w:val="22"/>
        </w:rPr>
        <w:t> </w:t>
      </w:r>
      <w:r>
        <w:rPr>
          <w:rFonts w:ascii="Times New Roman" w:hAnsi="Times New Roman"/>
          <w:b w:val="false"/>
          <w:i/>
          <w:color w:val="000000"/>
          <w:sz w:val="22"/>
        </w:rPr>
        <w:t xml:space="preserve">Project design and construction. </w:t>
      </w:r>
      <w:r>
        <w:rPr>
          <w:rFonts w:ascii="Times New Roman" w:hAnsi="Times New Roman"/>
          <w:b w:val="false"/>
          <w:i w:val="false"/>
          <w:color w:val="000000"/>
          <w:sz w:val="22"/>
        </w:rPr>
        <w:t>The alternative drainage system of the drainage district or the wetland restoration shall be designed to meet standard engineering practice and be approved by the division. Construction shall be in accordance with the design and standard construction practice for drainage district improvements or the wetland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30.50(4)</w:t>
      </w:r>
      <w:r>
        <w:rPr>
          <w:rFonts w:ascii="Times New Roman" w:hAnsi="Times New Roman"/>
          <w:b w:val="false"/>
          <w:i w:val="false"/>
          <w:color w:val="000000"/>
          <w:sz w:val="22"/>
        </w:rPr>
        <w:t> </w:t>
      </w:r>
      <w:r>
        <w:rPr>
          <w:rFonts w:ascii="Times New Roman" w:hAnsi="Times New Roman"/>
          <w:b w:val="false"/>
          <w:i/>
          <w:color w:val="000000"/>
          <w:sz w:val="22"/>
        </w:rPr>
        <w:t xml:space="preserve">Easement purchases. </w:t>
      </w:r>
      <w:r>
        <w:rPr>
          <w:rFonts w:ascii="Times New Roman" w:hAnsi="Times New Roman"/>
          <w:b w:val="false"/>
          <w:i w:val="false"/>
          <w:color w:val="000000"/>
          <w:sz w:val="22"/>
        </w:rPr>
        <w:t>For projects where wetland restoration is completed, a permanent easement restricting active disturbance of the easement area including cropland and pasture uses shall be granted to the applicable soil and water conservation district. The value of the easement is determined by using the average farmland value per acre for all soil types as determined by the most recently published county land value survey developed by Iowa State University adjusted by the value of any existing easements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30.50(5)</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A person who owns an interest in land within a designated agricultural drainage well area shall not be eligible to participate in the program, if the person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to a pending legal or administrative action, including a contested case proceeding under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relating to an alleged violation involving an animal feeding operation as regulated by the department of natural resources, regardless of whether the pending action is brought by the department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Classified as a habitual violator for a violation of state law involving an animal feeding operation as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30.50(6)</w:t>
      </w:r>
      <w:r>
        <w:rPr>
          <w:rFonts w:ascii="Times New Roman" w:hAnsi="Times New Roman"/>
          <w:b w:val="false"/>
          <w:i w:val="false"/>
          <w:color w:val="000000"/>
          <w:sz w:val="22"/>
        </w:rPr>
        <w:t> </w:t>
      </w:r>
      <w:r>
        <w:rPr>
          <w:rFonts w:ascii="Times New Roman" w:hAnsi="Times New Roman"/>
          <w:b w:val="false"/>
          <w:i/>
          <w:color w:val="000000"/>
          <w:sz w:val="22"/>
        </w:rPr>
        <w:t xml:space="preserve">Closure of agricultural drainage wells. </w:t>
      </w:r>
      <w:r>
        <w:rPr>
          <w:rFonts w:ascii="Times New Roman" w:hAnsi="Times New Roman"/>
          <w:b w:val="false"/>
          <w:i w:val="false"/>
          <w:color w:val="000000"/>
          <w:sz w:val="22"/>
        </w:rPr>
        <w:t>Closure of all agricultural drainage wells located within the watershed area served by the alternative drainage system of the drainage district is required for landowners to be eligible for financial assistance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applicable statutes. </w:t>
      </w:r>
      <w:r>
        <w:rPr>
          <w:rFonts w:ascii="Times New Roman" w:hAnsi="Times New Roman"/>
          <w:b w:val="false"/>
          <w:i w:val="false"/>
          <w:color w:val="000000"/>
          <w:sz w:val="22"/>
        </w:rPr>
        <w:t>The alternative drainage system project of the drainage district shall be conducted in compliance with all applicable statutes, rules and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3839C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27—30.51</w:t>
      </w:r>
      <w:r>
        <w:rPr>
          <w:rFonts w:ascii="Times New Roman" w:hAnsi="Times New Roman"/>
          <w:b w:val="false"/>
          <w:i w:val="false"/>
          <w:color w:val="000000"/>
          <w:sz w:val="22"/>
        </w:rPr>
        <w:t xml:space="preserve"> to </w:t>
      </w:r>
      <w:r>
        <w:rPr>
          <w:rFonts w:ascii="Times New Roman" w:hAnsi="Times New Roman"/>
          <w:b/>
          <w:i w:val="false"/>
          <w:color w:val="000000"/>
          <w:sz w:val="22"/>
        </w:rPr>
        <w:t>30.59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27—30.60</w:t>
      </w:r>
      <w:r>
        <w:rPr>
          <w:rFonts w:ascii="Times New Roman" w:hAnsi="Times New Roman"/>
          <w:b/>
          <w:i w:val="false"/>
          <w:color w:val="000000"/>
          <w:sz w:val="22"/>
        </w:rPr>
        <w:t xml:space="preserve">(161A,460) </w:t>
      </w:r>
      <w:r>
        <w:rPr>
          <w:rFonts w:ascii="Times New Roman" w:hAnsi="Times New Roman"/>
          <w:b/>
          <w:i w:val="false"/>
          <w:color w:val="000000"/>
          <w:sz w:val="22"/>
        </w:rPr>
        <w:t xml:space="preserve">Payment of financial assistance. </w:t>
      </w:r>
      <w:r>
        <w:rPr>
          <w:rFonts w:ascii="Times New Roman" w:hAnsi="Times New Roman"/>
          <w:b w:val="false"/>
          <w:i w:val="false"/>
          <w:color w:val="000000"/>
          <w:sz w:val="22"/>
        </w:rPr>
        <w:t>Financial assistance under the program will be distributed to eligible landowners by the drainage district, under the terms of a 28E agreement between the division and the drainage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30.60(1)</w:t>
      </w:r>
      <w:r>
        <w:rPr>
          <w:rFonts w:ascii="Times New Roman" w:hAnsi="Times New Roman"/>
          <w:b w:val="false"/>
          <w:i w:val="false"/>
          <w:color w:val="000000"/>
          <w:sz w:val="22"/>
        </w:rPr>
        <w:t> </w:t>
      </w:r>
      <w:r>
        <w:rPr>
          <w:rFonts w:ascii="Times New Roman" w:hAnsi="Times New Roman"/>
          <w:b w:val="false"/>
          <w:i/>
          <w:color w:val="000000"/>
          <w:sz w:val="22"/>
        </w:rPr>
        <w:t xml:space="preserve">Distribution to eligible landowners under adopted classification. </w:t>
      </w:r>
      <w:r>
        <w:rPr>
          <w:rFonts w:ascii="Times New Roman" w:hAnsi="Times New Roman"/>
          <w:b w:val="false"/>
          <w:i w:val="false"/>
          <w:color w:val="000000"/>
          <w:sz w:val="22"/>
        </w:rPr>
        <w:t>Funds will be transferred by the division for all eligible costs of the project under the program to the drainage district for distribution to eligible landowners in accordance with the adopted classification of the district. The financial assistance shall be distributed to reduce the actual assessment to eligible landowners under the adopted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30.60(2)</w:t>
      </w:r>
      <w:r>
        <w:rPr>
          <w:rFonts w:ascii="Times New Roman" w:hAnsi="Times New Roman"/>
          <w:b w:val="false"/>
          <w:i w:val="false"/>
          <w:color w:val="000000"/>
          <w:sz w:val="22"/>
        </w:rPr>
        <w:t> </w:t>
      </w:r>
      <w:r>
        <w:rPr>
          <w:rFonts w:ascii="Times New Roman" w:hAnsi="Times New Roman"/>
          <w:b w:val="false"/>
          <w:i/>
          <w:color w:val="000000"/>
          <w:sz w:val="22"/>
        </w:rPr>
        <w:t xml:space="preserve">Time of payment. </w:t>
      </w:r>
      <w:r>
        <w:rPr>
          <w:rFonts w:ascii="Times New Roman" w:hAnsi="Times New Roman"/>
          <w:b w:val="false"/>
          <w:i w:val="false"/>
          <w:color w:val="000000"/>
          <w:sz w:val="22"/>
        </w:rPr>
        <w:t>Financial assistance funds shall be transferred to the drainage district to reimburse actual expenditures of the district. The fund transfer to the drainage district will be in accordance with the terms of the 28E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27—30.61</w:t>
      </w:r>
      <w:r>
        <w:rPr>
          <w:rFonts w:ascii="Times New Roman" w:hAnsi="Times New Roman"/>
          <w:b w:val="false"/>
          <w:i w:val="false"/>
          <w:color w:val="000000"/>
          <w:sz w:val="22"/>
        </w:rPr>
        <w:t xml:space="preserve"> to </w:t>
      </w:r>
      <w:r>
        <w:rPr>
          <w:rFonts w:ascii="Times New Roman" w:hAnsi="Times New Roman"/>
          <w:b/>
          <w:i w:val="false"/>
          <w:color w:val="000000"/>
          <w:sz w:val="22"/>
        </w:rPr>
        <w:t>30.69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27—30.70</w:t>
      </w:r>
      <w:r>
        <w:rPr>
          <w:rFonts w:ascii="Times New Roman" w:hAnsi="Times New Roman"/>
          <w:b/>
          <w:i w:val="false"/>
          <w:color w:val="000000"/>
          <w:sz w:val="22"/>
        </w:rPr>
        <w:t xml:space="preserve">(161A,460) </w:t>
      </w:r>
      <w:r>
        <w:rPr>
          <w:rFonts w:ascii="Times New Roman" w:hAnsi="Times New Roman"/>
          <w:b/>
          <w:i w:val="false"/>
          <w:color w:val="000000"/>
          <w:sz w:val="22"/>
        </w:rPr>
        <w:t xml:space="preserve">Compliance procedures and reviews. </w:t>
      </w:r>
      <w:r>
        <w:rPr>
          <w:rFonts w:ascii="Times New Roman" w:hAnsi="Times New Roman"/>
          <w:b w:val="false"/>
          <w:i w:val="false"/>
          <w:color w:val="000000"/>
          <w:sz w:val="22"/>
        </w:rPr>
        <w:t>This rule establishes procedures for compliance actions taken by the division when it is found that program requirements or funding agreements are not being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30.70(1)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program requirements or funding agreements. </w:t>
      </w:r>
      <w:r>
        <w:rPr>
          <w:rFonts w:ascii="Times New Roman" w:hAnsi="Times New Roman"/>
          <w:b w:val="false"/>
          <w:i w:val="false"/>
          <w:color w:val="000000"/>
          <w:sz w:val="22"/>
        </w:rPr>
        <w:t>Upon determination that program requirements or funding agreements have not been complied with, the division shall notify the affected landowners or drainage district of the lack of compliance and establish a schedule for achieving compliance with applicable requirements. In the event compliance is not achieved, no financial assistance from the program shall be provided. If financial assistance payments have previously been made, the division may order the recipient to pay back the division the total amount of the financial assistance payment in accordance with a schedule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30.70(2)</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reviews. </w:t>
      </w:r>
      <w:r>
        <w:rPr>
          <w:rFonts w:ascii="Times New Roman" w:hAnsi="Times New Roman"/>
          <w:b w:val="false"/>
          <w:i w:val="false"/>
          <w:color w:val="000000"/>
          <w:sz w:val="22"/>
        </w:rPr>
        <w:t xml:space="preserve">A landowner or drainage district that has been determined ineligible for financial assistance or has been ordered to pay back to the division financial assistance payments because of lack of compliance with program requirements or funding agreements may seek review of the compliance action taken by the division. The affected landowner or drainage district may address concerns about the compliance action in writing to the director of the division. Upon receipt of such concern, the director shall review the actions taken and shall communicate the findings of the compliance review to the complainant. The director’s decision following review of the actions taken shall constitute final agency action for purposes of invoking the judicial review provisions of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implement Iowa Code chapter </w:t>
      </w:r>
      <w:hyperlink r:id="rId17">
        <w:r>
          <w:rPr>
            <w:rStyle w:val="Hyperlink"/>
            <w:rFonts w:ascii="Times New Roman" w:hAnsi="Times New Roman"/>
            <w:b w:val="false"/>
            <w:i w:val="false"/>
            <w:color w:val="000000"/>
            <w:sz w:val="22"/>
          </w:rPr>
          <w:t>460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12/12/97, Notice 10/22/97—published 12/31/97, effective 2/4/98]</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3839C</w:t>
      </w:r>
      <w:r>
        <w:rPr>
          <w:rFonts w:ascii="Times New Roman" w:hAnsi="Times New Roman"/>
          <w:b w:val="false"/>
          <w:i w:val="false"/>
          <w:color w:val="000000"/>
          <w:sz w:val="21"/>
        </w:rPr>
        <w:t xml:space="preserve"> (Notice ARC 3730C, IAB 4/11/18)</w:t>
      </w:r>
      <w:r>
        <w:rPr>
          <w:rFonts w:ascii="Times New Roman" w:hAnsi="Times New Roman"/>
          <w:b w:val="false"/>
          <w:i w:val="false"/>
          <w:color w:val="000000"/>
          <w:sz w:val="21"/>
        </w:rPr>
        <w:t>, IAB 6/6/18, effective 7/11/18]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8.pdf" Type="http://schemas.openxmlformats.org/officeDocument/2006/relationships/hyperlink" Id="rId5"/>
    <Relationship TargetMode="External" Target="https://www.legis.iowa.gov/docs/ico/chapter/468.44-46.pdf" Type="http://schemas.openxmlformats.org/officeDocument/2006/relationships/hyperlink" Id="rId6"/>
    <Relationship TargetMode="External" Target="https://www.legis.iowa.gov/docs/ico/chapter/12C.7.pdf" Type="http://schemas.openxmlformats.org/officeDocument/2006/relationships/hyperlink" Id="rId7"/>
    <Relationship TargetMode="External" Target="https://www.legis.iowa.gov/docs/ico/chapter/468.3.pdf" Type="http://schemas.openxmlformats.org/officeDocument/2006/relationships/hyperlink" Id="rId8"/>
    <Relationship TargetMode="External" Target="https://www.legis.iowa.gov/docs/ico/chapter/468.8.pdf" Type="http://schemas.openxmlformats.org/officeDocument/2006/relationships/hyperlink" Id="rId9"/>
    <Relationship TargetMode="External" Target="https://www.legis.iowa.gov/docs/ico/chapter/468.22.pdf" Type="http://schemas.openxmlformats.org/officeDocument/2006/relationships/hyperlink" Id="rId10"/>
    <Relationship TargetMode="External" Target="https://www.legis.iowa.gov/docs/ico/chapter/468.126.pdf" Type="http://schemas.openxmlformats.org/officeDocument/2006/relationships/hyperlink" Id="rId11"/>
    <Relationship TargetMode="External" Target="https://www.legis.iowa.gov/docs/ico/chapter/468.22.pdf" Type="http://schemas.openxmlformats.org/officeDocument/2006/relationships/hyperlink" Id="rId12"/>
    <Relationship TargetMode="External" Target="https://www.legis.iowa.gov/docs/ico/chapter/468.3.pdf" Type="http://schemas.openxmlformats.org/officeDocument/2006/relationships/hyperlink" Id="rId13"/>
    <Relationship TargetMode="External" Target="https://www.legis.iowa.gov/docs/iac/chapter/567.39.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460.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