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21</w:t>
      </w:r>
    </w:p>
    <w:p>
      <w:pPr>
        <w:spacing w:before="0" w:after="0"/>
        <w:ind w:left="120"/>
        <w:jc w:val="center"/>
      </w:pPr>
      <w:r>
        <w:rPr>
          <w:rFonts w:ascii="Times New Roman" w:hAnsi="Times New Roman"/>
          <w:b w:val="false"/>
          <w:i w:val="false"/>
          <w:color w:val="000000"/>
          <w:sz w:val="21"/>
        </w:rPr>
        <w:t>WATER QUALITY PROTECTION PROJECTS—WATER PROTECTION FUND</w:t>
      </w:r>
    </w:p>
    <w:p>
      <w:pPr>
        <w:pBdr>
          <w:top w:space="10"/>
          <w:bottom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pBdr>
          <w:top w:space="10"/>
        </w:pBdr>
        <w:spacing w:before="0" w:after="0"/>
        <w:ind w:left="120"/>
        <w:jc w:val="center"/>
      </w:pPr>
      <w:r>
        <w:rPr>
          <w:rFonts w:ascii="Times New Roman" w:hAnsi="Times New Roman"/>
          <w:b w:val="false"/>
          <w:i w:val="false"/>
          <w:color w:val="000000"/>
          <w:sz w:val="16"/>
        </w:rPr>
        <w:t>PART 1</w:t>
      </w:r>
    </w:p>
    <w:p>
      <w:pPr>
        <w:pBdr>
          <w:bottom w:space="10"/>
        </w:pBdr>
        <w:spacing w:before="0" w:after="0"/>
        <w:ind w:left="120"/>
        <w:jc w:val="center"/>
      </w:pPr>
      <w:r>
        <w:rPr>
          <w:rFonts w:ascii="Times New Roman" w:hAnsi="Times New Roman"/>
          <w:b w:val="false"/>
          <w:i w:val="false"/>
          <w:color w:val="000000"/>
          <w:sz w:val="16"/>
        </w:rPr>
        <w:t>AUTHORITY AND SCOPE</w:t>
      </w:r>
    </w:p>
    <w:p>
      <w:pPr>
        <w:spacing w:before="210" w:after="0"/>
        <w:ind w:left="120"/>
        <w:jc w:val="both"/>
      </w:pPr>
      <w:r>
        <w:rPr>
          <w:rFonts w:ascii="Times New Roman" w:hAnsi="Times New Roman"/>
          <w:b/>
          <w:i w:val="false"/>
          <w:color w:val="000000"/>
          <w:sz w:val="22"/>
        </w:rPr>
        <w:t>27—21.1</w:t>
      </w:r>
      <w:r>
        <w:rPr>
          <w:rFonts w:ascii="Times New Roman" w:hAnsi="Times New Roman"/>
          <w:b w:val="false"/>
          <w:i w:val="false"/>
          <w:color w:val="000000"/>
          <w:sz w:val="22"/>
        </w:rPr>
        <w:t xml:space="preserve"> to </w:t>
      </w:r>
      <w:r>
        <w:rPr>
          <w:rFonts w:ascii="Times New Roman" w:hAnsi="Times New Roman"/>
          <w:b/>
          <w:i w:val="false"/>
          <w:color w:val="000000"/>
          <w:sz w:val="22"/>
        </w:rPr>
        <w:t>21.9</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27—21.10</w:t>
      </w:r>
      <w:r>
        <w:rPr>
          <w:rFonts w:ascii="Times New Roman" w:hAnsi="Times New Roman"/>
          <w:b/>
          <w:i w:val="false"/>
          <w:color w:val="000000"/>
          <w:sz w:val="22"/>
        </w:rPr>
        <w:t xml:space="preserve">(161A) </w:t>
      </w:r>
      <w:r>
        <w:rPr>
          <w:rFonts w:ascii="Times New Roman" w:hAnsi="Times New Roman"/>
          <w:b/>
          <w:i w:val="false"/>
          <w:color w:val="000000"/>
          <w:sz w:val="22"/>
        </w:rPr>
        <w:t xml:space="preserve">Authority and scope. </w:t>
      </w:r>
      <w:r>
        <w:rPr>
          <w:rFonts w:ascii="Times New Roman" w:hAnsi="Times New Roman"/>
          <w:b w:val="false"/>
          <w:i w:val="false"/>
          <w:color w:val="000000"/>
          <w:sz w:val="22"/>
        </w:rPr>
        <w:t xml:space="preserve">This chapter establishes procedures and standards to be followed by the division of soil conservation and water quality, Iowa department of agriculture and land stewardship, in accordance with the policies of the state soil conservation and water quality committee in implementing water quality protection projects through the water protection fund created in Iowa Code chapter </w:t>
      </w:r>
      <w:hyperlink r:id="rId5">
        <w:r>
          <w:rPr>
            <w:rStyle w:val="Hyperlink"/>
            <w:rFonts w:ascii="Times New Roman" w:hAnsi="Times New Roman"/>
            <w:b w:val="false"/>
            <w:i w:val="false"/>
            <w:color w:val="000000"/>
            <w:sz w:val="22"/>
          </w:rPr>
          <w:t>161C</w:t>
        </w:r>
      </w:hyperlink>
      <w:r>
        <w:rPr>
          <w:rFonts w:ascii="Times New Roman" w:hAnsi="Times New Roman"/>
          <w:b w:val="false"/>
          <w:i w:val="false"/>
          <w:color w:val="000000"/>
          <w:sz w:val="22"/>
        </w:rPr>
        <w:t>. These projects will protect the state’s groundwater and surface water from point and nonpoint sources of contamination, including but not limited to agricultural drainage wells, sinkholes, sedimentation, and chemical pollutants. Water protection fund resources will provide administrative, operational, and personnel support for the projects and funds for management and structural measures to address identified water quality problems.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2192C</w:t>
      </w:r>
      <w:r>
        <w:rPr>
          <w:rFonts w:ascii="Times New Roman" w:hAnsi="Times New Roman"/>
          <w:b w:val="false"/>
          <w:i w:val="false"/>
          <w:color w:val="000000"/>
          <w:sz w:val="16"/>
        </w:rPr>
        <w:t>, IAB 10/14/15, effective 11/18/15</w:t>
      </w:r>
      <w:r>
        <w:rPr>
          <w:rFonts w:ascii="Times New Roman" w:hAnsi="Times New Roman"/>
          <w:b w:val="false"/>
          <w:i w:val="false"/>
          <w:color w:val="000000"/>
          <w:sz w:val="16"/>
        </w:rPr>
        <w:t xml:space="preserve">; </w:t>
      </w:r>
      <w:r>
        <w:rPr>
          <w:rFonts w:ascii="Times New Roman" w:hAnsi="Times New Roman"/>
          <w:b/>
          <w:i w:val="false"/>
          <w:color w:val="000000"/>
          <w:sz w:val="16"/>
        </w:rPr>
        <w:t>ARC 3243C</w:t>
      </w:r>
      <w:r>
        <w:rPr>
          <w:rFonts w:ascii="Times New Roman" w:hAnsi="Times New Roman"/>
          <w:b w:val="false"/>
          <w:i w:val="false"/>
          <w:color w:val="000000"/>
          <w:sz w:val="16"/>
        </w:rPr>
        <w:t>, IAB 8/2/17, effective 9/6/17</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27—21.11</w:t>
      </w:r>
      <w:r>
        <w:rPr>
          <w:rFonts w:ascii="Times New Roman" w:hAnsi="Times New Roman"/>
          <w:b/>
          <w:i w:val="false"/>
          <w:color w:val="000000"/>
          <w:sz w:val="22"/>
        </w:rPr>
        <w:t xml:space="preserve">(161A) </w:t>
      </w:r>
      <w:r>
        <w:rPr>
          <w:rFonts w:ascii="Times New Roman" w:hAnsi="Times New Roman"/>
          <w:b/>
          <w:i w:val="false"/>
          <w:color w:val="000000"/>
          <w:sz w:val="22"/>
        </w:rPr>
        <w:t xml:space="preserve">Rules or subrules are severable. </w:t>
      </w:r>
      <w:r>
        <w:rPr>
          <w:rFonts w:ascii="Times New Roman" w:hAnsi="Times New Roman"/>
          <w:b w:val="false"/>
          <w:i w:val="false"/>
          <w:color w:val="000000"/>
          <w:sz w:val="22"/>
        </w:rPr>
        <w:t>If any provisions of a rule or subrule or the application thereof to any person or circumstance is held invalid, the invalidity does not affect other provisions or applications of the rule or subrule which can be given effect without invalid provisions or application, and to this end the provisions of these rules or subrules are severable.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2192C</w:t>
      </w:r>
      <w:r>
        <w:rPr>
          <w:rFonts w:ascii="Times New Roman" w:hAnsi="Times New Roman"/>
          <w:b w:val="false"/>
          <w:i w:val="false"/>
          <w:color w:val="000000"/>
          <w:sz w:val="16"/>
        </w:rPr>
        <w:t>, IAB 10/14/15, effective 11/18/15</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27—21.12</w:t>
      </w:r>
      <w:r>
        <w:rPr>
          <w:rFonts w:ascii="Times New Roman" w:hAnsi="Times New Roman"/>
          <w:b w:val="false"/>
          <w:i w:val="false"/>
          <w:color w:val="000000"/>
          <w:sz w:val="22"/>
        </w:rPr>
        <w:t xml:space="preserve"> to </w:t>
      </w:r>
      <w:r>
        <w:rPr>
          <w:rFonts w:ascii="Times New Roman" w:hAnsi="Times New Roman"/>
          <w:b/>
          <w:i w:val="false"/>
          <w:color w:val="000000"/>
          <w:sz w:val="22"/>
        </w:rPr>
        <w:t>21.19</w:t>
      </w:r>
      <w:r>
        <w:rPr>
          <w:rFonts w:ascii="Times New Roman" w:hAnsi="Times New Roman"/>
          <w:b w:val="false"/>
          <w:i w:val="false"/>
          <w:color w:val="000000"/>
          <w:sz w:val="22"/>
        </w:rPr>
        <w:t>Reserved.</w:t>
      </w:r>
    </w:p>
    <w:p>
      <w:pPr>
        <w:pBdr>
          <w:top w:space="10"/>
        </w:pBdr>
        <w:spacing w:before="0" w:after="0"/>
        <w:ind w:left="120"/>
        <w:jc w:val="center"/>
      </w:pPr>
      <w:r>
        <w:rPr>
          <w:rFonts w:ascii="Times New Roman" w:hAnsi="Times New Roman"/>
          <w:b w:val="false"/>
          <w:i w:val="false"/>
          <w:color w:val="000000"/>
          <w:sz w:val="16"/>
        </w:rPr>
        <w:t>PART 2</w:t>
      </w:r>
    </w:p>
    <w:p>
      <w:pPr>
        <w:pBdr>
          <w:bottom w:space="10"/>
        </w:pBdr>
        <w:spacing w:before="0" w:after="0"/>
        <w:ind w:left="120"/>
        <w:jc w:val="center"/>
      </w:pPr>
      <w:r>
        <w:rPr>
          <w:rFonts w:ascii="Times New Roman" w:hAnsi="Times New Roman"/>
          <w:b w:val="false"/>
          <w:i w:val="false"/>
          <w:color w:val="000000"/>
          <w:sz w:val="16"/>
        </w:rPr>
        <w:t>APPLICATIONS</w:t>
      </w:r>
    </w:p>
    <w:p>
      <w:pPr>
        <w:spacing w:before="0" w:after="0"/>
        <w:ind w:left="120"/>
        <w:jc w:val="both"/>
      </w:pPr>
      <w:r>
        <w:rPr>
          <w:rFonts w:ascii="Times New Roman" w:hAnsi="Times New Roman"/>
          <w:b/>
          <w:i w:val="false"/>
          <w:color w:val="000000"/>
          <w:sz w:val="22"/>
        </w:rPr>
        <w:t>27—21.20</w:t>
      </w:r>
      <w:r>
        <w:rPr>
          <w:rFonts w:ascii="Times New Roman" w:hAnsi="Times New Roman"/>
          <w:b/>
          <w:i w:val="false"/>
          <w:color w:val="000000"/>
          <w:sz w:val="22"/>
        </w:rPr>
        <w:t xml:space="preserve">(161A) </w:t>
      </w:r>
      <w:r>
        <w:rPr>
          <w:rFonts w:ascii="Times New Roman" w:hAnsi="Times New Roman"/>
          <w:b/>
          <w:i w:val="false"/>
          <w:color w:val="000000"/>
          <w:sz w:val="22"/>
        </w:rPr>
        <w:t xml:space="preserve">Announcement, eligibility, development and submission of applications. </w:t>
      </w:r>
      <w:r>
        <w:rPr>
          <w:rFonts w:ascii="Times New Roman" w:hAnsi="Times New Roman"/>
          <w:b w:val="false"/>
          <w:i w:val="false"/>
          <w:color w:val="000000"/>
          <w:sz w:val="22"/>
        </w:rPr>
        <w:t>Part 2 establishes procedures for announcement, eligibility, development and submission of applications for water quality projects supported through the water protection fund.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21.20(1)</w:t>
      </w:r>
      <w:r>
        <w:rPr>
          <w:rFonts w:ascii="Times New Roman" w:hAnsi="Times New Roman"/>
          <w:b w:val="false"/>
          <w:i w:val="false"/>
          <w:color w:val="000000"/>
          <w:sz w:val="22"/>
        </w:rPr>
        <w:t> </w:t>
      </w:r>
      <w:r>
        <w:rPr>
          <w:rFonts w:ascii="Times New Roman" w:hAnsi="Times New Roman"/>
          <w:b w:val="false"/>
          <w:i/>
          <w:color w:val="000000"/>
          <w:sz w:val="22"/>
        </w:rPr>
        <w:t xml:space="preserve">Announcement of application opportunities. </w:t>
      </w:r>
      <w:r>
        <w:rPr>
          <w:rFonts w:ascii="Times New Roman" w:hAnsi="Times New Roman"/>
          <w:b w:val="false"/>
          <w:i w:val="false"/>
          <w:color w:val="000000"/>
          <w:sz w:val="22"/>
        </w:rPr>
        <w:t>The state soil conservation and water quality committee will announce to districts and other interested parties the opportunity to submit applications for projects. The announcement will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application submission deadline.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location to which applications will be submitted.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number of copies of applications to be submitted.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21.20(2)</w:t>
      </w:r>
      <w:r>
        <w:rPr>
          <w:rFonts w:ascii="Times New Roman" w:hAnsi="Times New Roman"/>
          <w:b w:val="false"/>
          <w:i w:val="false"/>
          <w:color w:val="000000"/>
          <w:sz w:val="22"/>
        </w:rPr>
        <w:t> </w:t>
      </w:r>
      <w:r>
        <w:rPr>
          <w:rFonts w:ascii="Times New Roman" w:hAnsi="Times New Roman"/>
          <w:b w:val="false"/>
          <w:i/>
          <w:color w:val="000000"/>
          <w:sz w:val="22"/>
        </w:rPr>
        <w:t xml:space="preserve">Eligibility of applicants. </w:t>
      </w:r>
      <w:r>
        <w:rPr>
          <w:rFonts w:ascii="Times New Roman" w:hAnsi="Times New Roman"/>
          <w:b w:val="false"/>
          <w:i w:val="false"/>
          <w:color w:val="000000"/>
          <w:sz w:val="22"/>
        </w:rPr>
        <w:t>All applications must be submitted by individual or multiple soil and water conservation districts.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Districts are encouraged to cooperate with and accept assistance in the development and preparation of applications from other agencies and organizations.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Districts are encouraged to accept financial and nonfinancial participation in project implementation from other agencies and organizations.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2192C</w:t>
      </w:r>
      <w:r>
        <w:rPr>
          <w:rFonts w:ascii="Times New Roman" w:hAnsi="Times New Roman"/>
          <w:b w:val="false"/>
          <w:i w:val="false"/>
          <w:color w:val="000000"/>
          <w:sz w:val="16"/>
        </w:rPr>
        <w:t>, IAB 10/14/15, effective 11/18/15</w:t>
      </w:r>
      <w:r>
        <w:rPr>
          <w:rFonts w:ascii="Times New Roman" w:hAnsi="Times New Roman"/>
          <w:b w:val="false"/>
          <w:i w:val="false"/>
          <w:color w:val="000000"/>
          <w:sz w:val="16"/>
        </w:rPr>
        <w:t xml:space="preserve">; </w:t>
      </w:r>
      <w:r>
        <w:rPr>
          <w:rFonts w:ascii="Times New Roman" w:hAnsi="Times New Roman"/>
          <w:b/>
          <w:i w:val="false"/>
          <w:color w:val="000000"/>
          <w:sz w:val="16"/>
        </w:rPr>
        <w:t>ARC 3243C</w:t>
      </w:r>
      <w:r>
        <w:rPr>
          <w:rFonts w:ascii="Times New Roman" w:hAnsi="Times New Roman"/>
          <w:b w:val="false"/>
          <w:i w:val="false"/>
          <w:color w:val="000000"/>
          <w:sz w:val="16"/>
        </w:rPr>
        <w:t>, IAB 8/2/17, effective 9/6/17</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27—21.21</w:t>
      </w:r>
      <w:r>
        <w:rPr>
          <w:rFonts w:ascii="Times New Roman" w:hAnsi="Times New Roman"/>
          <w:b w:val="false"/>
          <w:i w:val="false"/>
          <w:color w:val="000000"/>
          <w:sz w:val="22"/>
        </w:rPr>
        <w:t xml:space="preserve"> to </w:t>
      </w:r>
      <w:r>
        <w:rPr>
          <w:rFonts w:ascii="Times New Roman" w:hAnsi="Times New Roman"/>
          <w:b/>
          <w:i w:val="false"/>
          <w:color w:val="000000"/>
          <w:sz w:val="22"/>
        </w:rPr>
        <w:t>21.29</w:t>
      </w:r>
      <w:r>
        <w:rPr>
          <w:rFonts w:ascii="Times New Roman" w:hAnsi="Times New Roman"/>
          <w:b w:val="false"/>
          <w:i w:val="false"/>
          <w:color w:val="000000"/>
          <w:sz w:val="22"/>
        </w:rPr>
        <w:t>Reserved.</w:t>
      </w:r>
    </w:p>
    <w:p>
      <w:pPr>
        <w:pBdr>
          <w:top w:space="10"/>
        </w:pBdr>
        <w:spacing w:before="0" w:after="0"/>
        <w:ind w:left="120"/>
        <w:jc w:val="center"/>
      </w:pPr>
      <w:r>
        <w:rPr>
          <w:rFonts w:ascii="Times New Roman" w:hAnsi="Times New Roman"/>
          <w:b w:val="false"/>
          <w:i w:val="false"/>
          <w:color w:val="000000"/>
          <w:sz w:val="16"/>
        </w:rPr>
        <w:t>PART 3</w:t>
      </w:r>
    </w:p>
    <w:p>
      <w:pPr>
        <w:pBdr>
          <w:bottom w:space="10"/>
        </w:pBdr>
        <w:spacing w:before="0" w:after="0"/>
        <w:ind w:left="120"/>
        <w:jc w:val="center"/>
      </w:pPr>
      <w:r>
        <w:rPr>
          <w:rFonts w:ascii="Times New Roman" w:hAnsi="Times New Roman"/>
          <w:b w:val="false"/>
          <w:i w:val="false"/>
          <w:color w:val="000000"/>
          <w:sz w:val="16"/>
        </w:rPr>
        <w:t>APPLICATION CONTENT</w:t>
      </w:r>
    </w:p>
    <w:p>
      <w:pPr>
        <w:spacing w:before="0" w:after="0"/>
        <w:ind w:left="120"/>
        <w:jc w:val="both"/>
      </w:pPr>
      <w:r>
        <w:rPr>
          <w:rFonts w:ascii="Times New Roman" w:hAnsi="Times New Roman"/>
          <w:b/>
          <w:i w:val="false"/>
          <w:color w:val="000000"/>
          <w:sz w:val="22"/>
        </w:rPr>
        <w:t>27—21.30</w:t>
      </w:r>
      <w:r>
        <w:rPr>
          <w:rFonts w:ascii="Times New Roman" w:hAnsi="Times New Roman"/>
          <w:b/>
          <w:i w:val="false"/>
          <w:color w:val="000000"/>
          <w:sz w:val="22"/>
        </w:rPr>
        <w:t xml:space="preserve">(161A) </w:t>
      </w:r>
      <w:r>
        <w:rPr>
          <w:rFonts w:ascii="Times New Roman" w:hAnsi="Times New Roman"/>
          <w:b/>
          <w:i w:val="false"/>
          <w:color w:val="000000"/>
          <w:sz w:val="22"/>
        </w:rPr>
        <w:t xml:space="preserve">Water quality protection project application content. </w:t>
      </w:r>
      <w:r>
        <w:rPr>
          <w:rFonts w:ascii="Times New Roman" w:hAnsi="Times New Roman"/>
          <w:b w:val="false"/>
          <w:i w:val="false"/>
          <w:color w:val="000000"/>
          <w:sz w:val="22"/>
        </w:rPr>
        <w:t>Part 3 establishes the minimum content requirements of project applications.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21.30(1)</w:t>
      </w:r>
      <w:r>
        <w:rPr>
          <w:rFonts w:ascii="Times New Roman" w:hAnsi="Times New Roman"/>
          <w:b w:val="false"/>
          <w:i w:val="false"/>
          <w:color w:val="000000"/>
          <w:sz w:val="22"/>
        </w:rPr>
        <w:t> </w:t>
      </w:r>
      <w:r>
        <w:rPr>
          <w:rFonts w:ascii="Times New Roman" w:hAnsi="Times New Roman"/>
          <w:b w:val="false"/>
          <w:i/>
          <w:color w:val="000000"/>
          <w:sz w:val="22"/>
        </w:rPr>
        <w:t xml:space="preserve">Title, applicant and participants. </w:t>
      </w:r>
      <w:r>
        <w:rPr>
          <w:rFonts w:ascii="Times New Roman" w:hAnsi="Times New Roman"/>
          <w:b w:val="false"/>
          <w:i w:val="false"/>
          <w:color w:val="000000"/>
          <w:sz w:val="22"/>
        </w:rPr>
        <w:t>Each application will identify: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Water quality protection project title.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Name of district or districts submitting the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Names of participating agencies and organizations.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Number of landowners within the project area.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21.30(2)</w:t>
      </w:r>
      <w:r>
        <w:rPr>
          <w:rFonts w:ascii="Times New Roman" w:hAnsi="Times New Roman"/>
          <w:b w:val="false"/>
          <w:i w:val="false"/>
          <w:color w:val="000000"/>
          <w:sz w:val="22"/>
        </w:rPr>
        <w:t> </w:t>
      </w:r>
      <w:r>
        <w:rPr>
          <w:rFonts w:ascii="Times New Roman" w:hAnsi="Times New Roman"/>
          <w:b w:val="false"/>
          <w:i/>
          <w:color w:val="000000"/>
          <w:sz w:val="22"/>
        </w:rPr>
        <w:t xml:space="preserve">Project location. </w:t>
      </w:r>
      <w:r>
        <w:rPr>
          <w:rFonts w:ascii="Times New Roman" w:hAnsi="Times New Roman"/>
          <w:b w:val="false"/>
          <w:i w:val="false"/>
          <w:color w:val="000000"/>
          <w:sz w:val="22"/>
        </w:rPr>
        <w:t>Each application will identify: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Project location by description and map.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Project size.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Geographic setting.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21.30(3)</w:t>
      </w:r>
      <w:r>
        <w:rPr>
          <w:rFonts w:ascii="Times New Roman" w:hAnsi="Times New Roman"/>
          <w:b w:val="false"/>
          <w:i w:val="false"/>
          <w:color w:val="000000"/>
          <w:sz w:val="22"/>
        </w:rPr>
        <w:t> </w:t>
      </w:r>
      <w:r>
        <w:rPr>
          <w:rFonts w:ascii="Times New Roman" w:hAnsi="Times New Roman"/>
          <w:b w:val="false"/>
          <w:i/>
          <w:color w:val="000000"/>
          <w:sz w:val="22"/>
        </w:rPr>
        <w:t xml:space="preserve">Project description. </w:t>
      </w:r>
      <w:r>
        <w:rPr>
          <w:rFonts w:ascii="Times New Roman" w:hAnsi="Times New Roman"/>
          <w:b w:val="false"/>
          <w:i w:val="false"/>
          <w:color w:val="000000"/>
          <w:sz w:val="22"/>
        </w:rPr>
        <w:t>Each application will identify: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Land use, land management, and land ownership within the project area and, if appropriate, the surrounding area.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Priority water resources to be protected.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Water quality problems within the project area.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Quantification of the sources of contamination.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2192C</w:t>
      </w:r>
      <w:r>
        <w:rPr>
          <w:rFonts w:ascii="Times New Roman" w:hAnsi="Times New Roman"/>
          <w:b w:val="false"/>
          <w:i w:val="false"/>
          <w:color w:val="000000"/>
          <w:sz w:val="16"/>
        </w:rPr>
        <w:t>, IAB 10/14/15, effective 11/18/15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27—21.31</w:t>
      </w:r>
      <w:r>
        <w:rPr>
          <w:rFonts w:ascii="Times New Roman" w:hAnsi="Times New Roman"/>
          <w:b/>
          <w:i w:val="false"/>
          <w:color w:val="000000"/>
          <w:sz w:val="22"/>
        </w:rPr>
        <w:t xml:space="preserve">(161A) </w:t>
      </w:r>
      <w:r>
        <w:rPr>
          <w:rFonts w:ascii="Times New Roman" w:hAnsi="Times New Roman"/>
          <w:b/>
          <w:i w:val="false"/>
          <w:color w:val="000000"/>
          <w:sz w:val="22"/>
        </w:rPr>
        <w:t xml:space="preserve">Project water quality improvement objectives. </w:t>
      </w:r>
      <w:r>
        <w:rPr>
          <w:rFonts w:ascii="Times New Roman" w:hAnsi="Times New Roman"/>
          <w:b w:val="false"/>
          <w:i w:val="false"/>
          <w:color w:val="000000"/>
          <w:sz w:val="22"/>
        </w:rPr>
        <w:t>Each application will identify: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21.31(1)</w:t>
      </w:r>
      <w:r>
        <w:rPr>
          <w:rFonts w:ascii="Times New Roman" w:hAnsi="Times New Roman"/>
          <w:b w:val="false"/>
          <w:i w:val="false"/>
          <w:color w:val="000000"/>
          <w:sz w:val="22"/>
        </w:rPr>
        <w:t> </w:t>
      </w:r>
      <w:r>
        <w:rPr>
          <w:rFonts w:ascii="Times New Roman" w:hAnsi="Times New Roman"/>
          <w:b w:val="false"/>
          <w:i w:val="false"/>
          <w:color w:val="000000"/>
          <w:sz w:val="22"/>
        </w:rPr>
        <w:t>Water quality objectives of the project.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21.31(2)</w:t>
      </w:r>
      <w:r>
        <w:rPr>
          <w:rFonts w:ascii="Times New Roman" w:hAnsi="Times New Roman"/>
          <w:b w:val="false"/>
          <w:i w:val="false"/>
          <w:color w:val="000000"/>
          <w:sz w:val="22"/>
        </w:rPr>
        <w:t> </w:t>
      </w:r>
      <w:r>
        <w:rPr>
          <w:rFonts w:ascii="Times New Roman" w:hAnsi="Times New Roman"/>
          <w:b w:val="false"/>
          <w:i w:val="false"/>
          <w:color w:val="000000"/>
          <w:sz w:val="22"/>
        </w:rPr>
        <w:t>Measures to be taken to address each water quality problem identified within the project.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2192C</w:t>
      </w:r>
      <w:r>
        <w:rPr>
          <w:rFonts w:ascii="Times New Roman" w:hAnsi="Times New Roman"/>
          <w:b w:val="false"/>
          <w:i w:val="false"/>
          <w:color w:val="000000"/>
          <w:sz w:val="16"/>
        </w:rPr>
        <w:t>, IAB 10/14/15, effective 11/18/15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27—21.32</w:t>
      </w:r>
      <w:r>
        <w:rPr>
          <w:rFonts w:ascii="Times New Roman" w:hAnsi="Times New Roman"/>
          <w:b/>
          <w:i w:val="false"/>
          <w:color w:val="000000"/>
          <w:sz w:val="22"/>
        </w:rPr>
        <w:t xml:space="preserve">(161A) </w:t>
      </w:r>
      <w:r>
        <w:rPr>
          <w:rFonts w:ascii="Times New Roman" w:hAnsi="Times New Roman"/>
          <w:b/>
          <w:i w:val="false"/>
          <w:color w:val="000000"/>
          <w:sz w:val="22"/>
        </w:rPr>
        <w:t xml:space="preserve">Project costs. </w:t>
      </w:r>
      <w:r>
        <w:rPr>
          <w:rFonts w:ascii="Times New Roman" w:hAnsi="Times New Roman"/>
          <w:b w:val="false"/>
          <w:i w:val="false"/>
          <w:color w:val="000000"/>
          <w:sz w:val="22"/>
        </w:rPr>
        <w:t>Each application will identify on an annual basis: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21.32(1)</w:t>
      </w:r>
      <w:r>
        <w:rPr>
          <w:rFonts w:ascii="Times New Roman" w:hAnsi="Times New Roman"/>
          <w:b w:val="false"/>
          <w:i w:val="false"/>
          <w:color w:val="000000"/>
          <w:sz w:val="22"/>
        </w:rPr>
        <w:t> </w:t>
      </w:r>
      <w:r>
        <w:rPr>
          <w:rFonts w:ascii="Times New Roman" w:hAnsi="Times New Roman"/>
          <w:b w:val="false"/>
          <w:i/>
          <w:color w:val="000000"/>
          <w:sz w:val="22"/>
        </w:rPr>
        <w:t xml:space="preserve">Project measure costs.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Estimated cost of each measure to be implemented.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Landowner contribution.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Financial incentive contribution of the water protection fund.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Financial or other contribution of project participants.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21.32(2)</w:t>
      </w:r>
      <w:r>
        <w:rPr>
          <w:rFonts w:ascii="Times New Roman" w:hAnsi="Times New Roman"/>
          <w:b w:val="false"/>
          <w:i w:val="false"/>
          <w:color w:val="000000"/>
          <w:sz w:val="22"/>
        </w:rPr>
        <w:t> </w:t>
      </w:r>
      <w:r>
        <w:rPr>
          <w:rFonts w:ascii="Times New Roman" w:hAnsi="Times New Roman"/>
          <w:b w:val="false"/>
          <w:i/>
          <w:color w:val="000000"/>
          <w:sz w:val="22"/>
        </w:rPr>
        <w:t xml:space="preserve">Project personnel needs.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Personnel contribution of the water protection fund.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Personnel contribution of project applicants and participants.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21.32(3)</w:t>
      </w:r>
      <w:r>
        <w:rPr>
          <w:rFonts w:ascii="Times New Roman" w:hAnsi="Times New Roman"/>
          <w:b w:val="false"/>
          <w:i w:val="false"/>
          <w:color w:val="000000"/>
          <w:sz w:val="22"/>
        </w:rPr>
        <w:t> </w:t>
      </w:r>
      <w:r>
        <w:rPr>
          <w:rFonts w:ascii="Times New Roman" w:hAnsi="Times New Roman"/>
          <w:b w:val="false"/>
          <w:i/>
          <w:color w:val="000000"/>
          <w:sz w:val="22"/>
        </w:rPr>
        <w:t xml:space="preserve">Project operating expenses.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Project expense contribution from the water protection fund.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Project expense contribution from applicants and participants.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21.32(4)</w:t>
      </w:r>
      <w:r>
        <w:rPr>
          <w:rFonts w:ascii="Times New Roman" w:hAnsi="Times New Roman"/>
          <w:b w:val="false"/>
          <w:i w:val="false"/>
          <w:color w:val="000000"/>
          <w:sz w:val="22"/>
        </w:rPr>
        <w:t> </w:t>
      </w:r>
      <w:r>
        <w:rPr>
          <w:rFonts w:ascii="Times New Roman" w:hAnsi="Times New Roman"/>
          <w:b w:val="false"/>
          <w:i/>
          <w:color w:val="000000"/>
          <w:sz w:val="22"/>
        </w:rPr>
        <w:t xml:space="preserve">Total project costs for each project year.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2192C</w:t>
      </w:r>
      <w:r>
        <w:rPr>
          <w:rFonts w:ascii="Times New Roman" w:hAnsi="Times New Roman"/>
          <w:b w:val="false"/>
          <w:i w:val="false"/>
          <w:color w:val="000000"/>
          <w:sz w:val="16"/>
        </w:rPr>
        <w:t>, IAB 10/14/15, effective 11/18/15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27—21.33</w:t>
      </w:r>
      <w:r>
        <w:rPr>
          <w:rFonts w:ascii="Times New Roman" w:hAnsi="Times New Roman"/>
          <w:b/>
          <w:i w:val="false"/>
          <w:color w:val="000000"/>
          <w:sz w:val="22"/>
        </w:rPr>
        <w:t xml:space="preserve">(161A) </w:t>
      </w:r>
      <w:r>
        <w:rPr>
          <w:rFonts w:ascii="Times New Roman" w:hAnsi="Times New Roman"/>
          <w:b/>
          <w:i w:val="false"/>
          <w:color w:val="000000"/>
          <w:sz w:val="22"/>
        </w:rPr>
        <w:t xml:space="preserve">Landowner interest. </w:t>
      </w:r>
      <w:r>
        <w:rPr>
          <w:rFonts w:ascii="Times New Roman" w:hAnsi="Times New Roman"/>
          <w:b w:val="false"/>
          <w:i w:val="false"/>
          <w:color w:val="000000"/>
          <w:sz w:val="22"/>
        </w:rPr>
        <w:t>Each application will provide an assessment of landowner interest in participating in the project.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2192C</w:t>
      </w:r>
      <w:r>
        <w:rPr>
          <w:rFonts w:ascii="Times New Roman" w:hAnsi="Times New Roman"/>
          <w:b w:val="false"/>
          <w:i w:val="false"/>
          <w:color w:val="000000"/>
          <w:sz w:val="16"/>
        </w:rPr>
        <w:t>, IAB 10/14/15, effective 11/18/15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27—21.34</w:t>
      </w:r>
      <w:r>
        <w:rPr>
          <w:rFonts w:ascii="Times New Roman" w:hAnsi="Times New Roman"/>
          <w:b/>
          <w:i w:val="false"/>
          <w:color w:val="000000"/>
          <w:sz w:val="22"/>
        </w:rPr>
        <w:t xml:space="preserve">(161A) </w:t>
      </w:r>
      <w:r>
        <w:rPr>
          <w:rFonts w:ascii="Times New Roman" w:hAnsi="Times New Roman"/>
          <w:b/>
          <w:i w:val="false"/>
          <w:color w:val="000000"/>
          <w:sz w:val="22"/>
        </w:rPr>
        <w:t xml:space="preserve">Project maintenance. </w:t>
      </w:r>
      <w:r>
        <w:rPr>
          <w:rFonts w:ascii="Times New Roman" w:hAnsi="Times New Roman"/>
          <w:b w:val="false"/>
          <w:i w:val="false"/>
          <w:color w:val="000000"/>
          <w:sz w:val="22"/>
        </w:rPr>
        <w:t>Each application will describe measures to be taken to ensure the long-term viability of the implemented project through maintenance agreements, easements, or other such measures.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2192C</w:t>
      </w:r>
      <w:r>
        <w:rPr>
          <w:rFonts w:ascii="Times New Roman" w:hAnsi="Times New Roman"/>
          <w:b w:val="false"/>
          <w:i w:val="false"/>
          <w:color w:val="000000"/>
          <w:sz w:val="16"/>
        </w:rPr>
        <w:t>, IAB 10/14/15, effective 11/18/15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27—21.35</w:t>
      </w:r>
      <w:r>
        <w:rPr>
          <w:rFonts w:ascii="Times New Roman" w:hAnsi="Times New Roman"/>
          <w:b/>
          <w:i w:val="false"/>
          <w:color w:val="000000"/>
          <w:sz w:val="22"/>
        </w:rPr>
        <w:t xml:space="preserve">(161A) </w:t>
      </w:r>
      <w:r>
        <w:rPr>
          <w:rFonts w:ascii="Times New Roman" w:hAnsi="Times New Roman"/>
          <w:b/>
          <w:i w:val="false"/>
          <w:color w:val="000000"/>
          <w:sz w:val="22"/>
        </w:rPr>
        <w:t xml:space="preserve">Time frame. </w:t>
      </w:r>
      <w:r>
        <w:rPr>
          <w:rFonts w:ascii="Times New Roman" w:hAnsi="Times New Roman"/>
          <w:b w:val="false"/>
          <w:i w:val="false"/>
          <w:color w:val="000000"/>
          <w:sz w:val="22"/>
        </w:rPr>
        <w:t>Each application will provide a time frame for project implementation.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2192C</w:t>
      </w:r>
      <w:r>
        <w:rPr>
          <w:rFonts w:ascii="Times New Roman" w:hAnsi="Times New Roman"/>
          <w:b w:val="false"/>
          <w:i w:val="false"/>
          <w:color w:val="000000"/>
          <w:sz w:val="16"/>
        </w:rPr>
        <w:t>, IAB 10/14/15, effective 11/18/15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27—21.36</w:t>
      </w:r>
      <w:r>
        <w:rPr>
          <w:rFonts w:ascii="Times New Roman" w:hAnsi="Times New Roman"/>
          <w:b/>
          <w:i w:val="false"/>
          <w:color w:val="000000"/>
          <w:sz w:val="22"/>
        </w:rPr>
        <w:t xml:space="preserve">(161A) </w:t>
      </w:r>
      <w:r>
        <w:rPr>
          <w:rFonts w:ascii="Times New Roman" w:hAnsi="Times New Roman"/>
          <w:b/>
          <w:i w:val="false"/>
          <w:color w:val="000000"/>
          <w:sz w:val="22"/>
        </w:rPr>
        <w:t xml:space="preserve">Project evaluation. </w:t>
      </w:r>
      <w:r>
        <w:rPr>
          <w:rFonts w:ascii="Times New Roman" w:hAnsi="Times New Roman"/>
          <w:b w:val="false"/>
          <w:i w:val="false"/>
          <w:color w:val="000000"/>
          <w:sz w:val="22"/>
        </w:rPr>
        <w:t>Each application will describe criteria that will be used to evaluate the success of the project. Evaluation criteria should state, at a minimum, projected landowner participation and water quality improvements.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2192C</w:t>
      </w:r>
      <w:r>
        <w:rPr>
          <w:rFonts w:ascii="Times New Roman" w:hAnsi="Times New Roman"/>
          <w:b w:val="false"/>
          <w:i w:val="false"/>
          <w:color w:val="000000"/>
          <w:sz w:val="16"/>
        </w:rPr>
        <w:t>, IAB 10/14/15, effective 11/18/15</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27—21.37</w:t>
      </w:r>
      <w:r>
        <w:rPr>
          <w:rFonts w:ascii="Times New Roman" w:hAnsi="Times New Roman"/>
          <w:b w:val="false"/>
          <w:i w:val="false"/>
          <w:color w:val="000000"/>
          <w:sz w:val="22"/>
        </w:rPr>
        <w:t xml:space="preserve"> to </w:t>
      </w:r>
      <w:r>
        <w:rPr>
          <w:rFonts w:ascii="Times New Roman" w:hAnsi="Times New Roman"/>
          <w:b/>
          <w:i w:val="false"/>
          <w:color w:val="000000"/>
          <w:sz w:val="22"/>
        </w:rPr>
        <w:t>21.39</w:t>
      </w:r>
      <w:r>
        <w:rPr>
          <w:rFonts w:ascii="Times New Roman" w:hAnsi="Times New Roman"/>
          <w:b w:val="false"/>
          <w:i w:val="false"/>
          <w:color w:val="000000"/>
          <w:sz w:val="22"/>
        </w:rPr>
        <w:t>Reserved.</w:t>
      </w:r>
    </w:p>
    <w:p>
      <w:pPr>
        <w:pBdr>
          <w:top w:space="10"/>
        </w:pBdr>
        <w:spacing w:before="0" w:after="0"/>
        <w:ind w:left="120"/>
        <w:jc w:val="center"/>
      </w:pPr>
      <w:r>
        <w:rPr>
          <w:rFonts w:ascii="Times New Roman" w:hAnsi="Times New Roman"/>
          <w:b w:val="false"/>
          <w:i w:val="false"/>
          <w:color w:val="000000"/>
          <w:sz w:val="16"/>
        </w:rPr>
        <w:t>PART 4</w:t>
      </w:r>
    </w:p>
    <w:p>
      <w:pPr>
        <w:pBdr>
          <w:bottom w:space="10"/>
        </w:pBdr>
        <w:spacing w:before="0" w:after="0"/>
        <w:ind w:left="120"/>
        <w:jc w:val="center"/>
      </w:pPr>
      <w:r>
        <w:rPr>
          <w:rFonts w:ascii="Times New Roman" w:hAnsi="Times New Roman"/>
          <w:b w:val="false"/>
          <w:i w:val="false"/>
          <w:color w:val="000000"/>
          <w:sz w:val="16"/>
        </w:rPr>
        <w:t>PROPOSAL REVIEW</w:t>
      </w:r>
    </w:p>
    <w:p>
      <w:pPr>
        <w:spacing w:before="0" w:after="0"/>
        <w:ind w:left="120"/>
        <w:jc w:val="both"/>
      </w:pPr>
      <w:r>
        <w:rPr>
          <w:rFonts w:ascii="Times New Roman" w:hAnsi="Times New Roman"/>
          <w:b/>
          <w:i w:val="false"/>
          <w:color w:val="000000"/>
          <w:sz w:val="22"/>
        </w:rPr>
        <w:t>27—21.40</w:t>
      </w:r>
      <w:r>
        <w:rPr>
          <w:rFonts w:ascii="Times New Roman" w:hAnsi="Times New Roman"/>
          <w:b/>
          <w:i w:val="false"/>
          <w:color w:val="000000"/>
          <w:sz w:val="22"/>
        </w:rPr>
        <w:t xml:space="preserve">(161A) </w:t>
      </w:r>
      <w:r>
        <w:rPr>
          <w:rFonts w:ascii="Times New Roman" w:hAnsi="Times New Roman"/>
          <w:b/>
          <w:i w:val="false"/>
          <w:color w:val="000000"/>
          <w:sz w:val="22"/>
        </w:rPr>
        <w:t xml:space="preserve">Proposal review. </w:t>
      </w:r>
      <w:r>
        <w:rPr>
          <w:rFonts w:ascii="Times New Roman" w:hAnsi="Times New Roman"/>
          <w:b w:val="false"/>
          <w:i w:val="false"/>
          <w:color w:val="000000"/>
          <w:sz w:val="22"/>
        </w:rPr>
        <w:t>Part 4 establishes the process that the state soil conservation and water quality committee will follow in reviewing the applications submitted and selecting which, if any, will be funded.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21.40(1)</w:t>
      </w:r>
      <w:r>
        <w:rPr>
          <w:rFonts w:ascii="Times New Roman" w:hAnsi="Times New Roman"/>
          <w:b w:val="false"/>
          <w:i w:val="false"/>
          <w:color w:val="000000"/>
          <w:sz w:val="22"/>
        </w:rPr>
        <w:t> </w:t>
      </w:r>
      <w:r>
        <w:rPr>
          <w:rFonts w:ascii="Times New Roman" w:hAnsi="Times New Roman"/>
          <w:b w:val="false"/>
          <w:i w:val="false"/>
          <w:color w:val="000000"/>
          <w:sz w:val="22"/>
        </w:rPr>
        <w:t>The state soil conservation and water quality committee will give consideration to the following criteria in evaluating the project proposals submitted: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water resource to be protected.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nature, extent and severity of water quality issues identified and targeted for correction.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nature and variety of the proposed project measures.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level of financial contribution requested for the project.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cost-effectiveness of the proposed project measures.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Agency, organization and landowner participation.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 public benefits projected.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The likelihood of project success within the projected time frame.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21.40(2)</w:t>
      </w:r>
      <w:r>
        <w:rPr>
          <w:rFonts w:ascii="Times New Roman" w:hAnsi="Times New Roman"/>
          <w:b w:val="false"/>
          <w:i w:val="false"/>
          <w:color w:val="000000"/>
          <w:sz w:val="22"/>
        </w:rPr>
        <w:t> </w:t>
      </w:r>
      <w:r>
        <w:rPr>
          <w:rFonts w:ascii="Times New Roman" w:hAnsi="Times New Roman"/>
          <w:b w:val="false"/>
          <w:i w:val="false"/>
          <w:color w:val="000000"/>
          <w:sz w:val="22"/>
        </w:rPr>
        <w:t>Proposal presentation. The state soil conservation and water quality committee may, at its discretion, ask the project applicant to make a formal presentation concerning the application or provide additional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21.40(3)</w:t>
      </w:r>
      <w:r>
        <w:rPr>
          <w:rFonts w:ascii="Times New Roman" w:hAnsi="Times New Roman"/>
          <w:b w:val="false"/>
          <w:i w:val="false"/>
          <w:color w:val="000000"/>
          <w:sz w:val="22"/>
        </w:rPr>
        <w:t> </w:t>
      </w:r>
      <w:r>
        <w:rPr>
          <w:rFonts w:ascii="Times New Roman" w:hAnsi="Times New Roman"/>
          <w:b w:val="false"/>
          <w:i w:val="false"/>
          <w:color w:val="000000"/>
          <w:sz w:val="22"/>
        </w:rPr>
        <w:t>Review assistance. The state soil conservation and water quality committee may receive assistance in the evaluation of project applications from division staff or other agencies.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21.40(4)</w:t>
      </w:r>
      <w:r>
        <w:rPr>
          <w:rFonts w:ascii="Times New Roman" w:hAnsi="Times New Roman"/>
          <w:b w:val="false"/>
          <w:i w:val="false"/>
          <w:color w:val="000000"/>
          <w:sz w:val="22"/>
        </w:rPr>
        <w:t> </w:t>
      </w:r>
      <w:r>
        <w:rPr>
          <w:rFonts w:ascii="Times New Roman" w:hAnsi="Times New Roman"/>
          <w:b w:val="false"/>
          <w:i w:val="false"/>
          <w:color w:val="000000"/>
          <w:sz w:val="22"/>
        </w:rPr>
        <w:t>Negotiation. The state soil conservation and water quality committee may negotiate any part of the proposal with the applicant prior to project selection.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21.40(5)</w:t>
      </w:r>
      <w:r>
        <w:rPr>
          <w:rFonts w:ascii="Times New Roman" w:hAnsi="Times New Roman"/>
          <w:b w:val="false"/>
          <w:i w:val="false"/>
          <w:color w:val="000000"/>
          <w:sz w:val="22"/>
        </w:rPr>
        <w:t> </w:t>
      </w:r>
      <w:r>
        <w:rPr>
          <w:rFonts w:ascii="Times New Roman" w:hAnsi="Times New Roman"/>
          <w:b w:val="false"/>
          <w:i w:val="false"/>
          <w:color w:val="000000"/>
          <w:sz w:val="22"/>
        </w:rPr>
        <w:t>Project selection. Projects selected will be funded on an annual basis. Funding for additional years of the projects will be provided on the basis of satisfactory progress and available funds of the water protection fund.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21.40(6)</w:t>
      </w:r>
      <w:r>
        <w:rPr>
          <w:rFonts w:ascii="Times New Roman" w:hAnsi="Times New Roman"/>
          <w:b w:val="false"/>
          <w:i w:val="false"/>
          <w:color w:val="000000"/>
          <w:sz w:val="22"/>
        </w:rPr>
        <w:t> </w:t>
      </w:r>
      <w:r>
        <w:rPr>
          <w:rFonts w:ascii="Times New Roman" w:hAnsi="Times New Roman"/>
          <w:b w:val="false"/>
          <w:i w:val="false"/>
          <w:color w:val="000000"/>
          <w:sz w:val="22"/>
        </w:rPr>
        <w:t>Notification. The state soil conservation and water quality committee will inform each applicant of the final determination with respect to the applicant’s application.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2192C</w:t>
      </w:r>
      <w:r>
        <w:rPr>
          <w:rFonts w:ascii="Times New Roman" w:hAnsi="Times New Roman"/>
          <w:b w:val="false"/>
          <w:i w:val="false"/>
          <w:color w:val="000000"/>
          <w:sz w:val="16"/>
        </w:rPr>
        <w:t>, IAB 10/14/15, effective 11/18/15</w:t>
      </w:r>
      <w:r>
        <w:rPr>
          <w:rFonts w:ascii="Times New Roman" w:hAnsi="Times New Roman"/>
          <w:b w:val="false"/>
          <w:i w:val="false"/>
          <w:color w:val="000000"/>
          <w:sz w:val="16"/>
        </w:rPr>
        <w:t xml:space="preserve">; </w:t>
      </w:r>
      <w:r>
        <w:rPr>
          <w:rFonts w:ascii="Times New Roman" w:hAnsi="Times New Roman"/>
          <w:b/>
          <w:i w:val="false"/>
          <w:color w:val="000000"/>
          <w:sz w:val="16"/>
        </w:rPr>
        <w:t>ARC 3243C</w:t>
      </w:r>
      <w:r>
        <w:rPr>
          <w:rFonts w:ascii="Times New Roman" w:hAnsi="Times New Roman"/>
          <w:b w:val="false"/>
          <w:i w:val="false"/>
          <w:color w:val="000000"/>
          <w:sz w:val="16"/>
        </w:rPr>
        <w:t>, IAB 8/2/17, effective 9/6/17</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27—21.41</w:t>
      </w:r>
      <w:r>
        <w:rPr>
          <w:rFonts w:ascii="Times New Roman" w:hAnsi="Times New Roman"/>
          <w:b w:val="false"/>
          <w:i w:val="false"/>
          <w:color w:val="000000"/>
          <w:sz w:val="22"/>
        </w:rPr>
        <w:t xml:space="preserve"> to </w:t>
      </w:r>
      <w:r>
        <w:rPr>
          <w:rFonts w:ascii="Times New Roman" w:hAnsi="Times New Roman"/>
          <w:b/>
          <w:i w:val="false"/>
          <w:color w:val="000000"/>
          <w:sz w:val="22"/>
        </w:rPr>
        <w:t>21.49</w:t>
      </w:r>
      <w:r>
        <w:rPr>
          <w:rFonts w:ascii="Times New Roman" w:hAnsi="Times New Roman"/>
          <w:b w:val="false"/>
          <w:i w:val="false"/>
          <w:color w:val="000000"/>
          <w:sz w:val="22"/>
        </w:rPr>
        <w:t>Reserved.</w:t>
      </w:r>
    </w:p>
    <w:p>
      <w:pPr>
        <w:pBdr>
          <w:top w:space="10"/>
        </w:pBdr>
        <w:spacing w:before="0" w:after="0"/>
        <w:ind w:left="120"/>
        <w:jc w:val="center"/>
      </w:pPr>
      <w:r>
        <w:rPr>
          <w:rFonts w:ascii="Times New Roman" w:hAnsi="Times New Roman"/>
          <w:b w:val="false"/>
          <w:i w:val="false"/>
          <w:color w:val="000000"/>
          <w:sz w:val="16"/>
        </w:rPr>
        <w:t>PART 5</w:t>
      </w:r>
    </w:p>
    <w:p>
      <w:pPr>
        <w:pBdr>
          <w:bottom w:space="10"/>
        </w:pBdr>
        <w:spacing w:before="0" w:after="0"/>
        <w:ind w:left="120"/>
        <w:jc w:val="center"/>
      </w:pPr>
      <w:r>
        <w:rPr>
          <w:rFonts w:ascii="Times New Roman" w:hAnsi="Times New Roman"/>
          <w:b w:val="false"/>
          <w:i w:val="false"/>
          <w:color w:val="000000"/>
          <w:sz w:val="16"/>
        </w:rPr>
        <w:t>BUDGET AND STAFF</w:t>
      </w:r>
    </w:p>
    <w:p>
      <w:pPr>
        <w:spacing w:before="0" w:after="0"/>
        <w:ind w:left="120"/>
        <w:jc w:val="both"/>
      </w:pPr>
      <w:r>
        <w:rPr>
          <w:rFonts w:ascii="Times New Roman" w:hAnsi="Times New Roman"/>
          <w:b/>
          <w:i w:val="false"/>
          <w:color w:val="000000"/>
          <w:sz w:val="22"/>
        </w:rPr>
        <w:t>27—21.50</w:t>
      </w:r>
      <w:r>
        <w:rPr>
          <w:rFonts w:ascii="Times New Roman" w:hAnsi="Times New Roman"/>
          <w:b/>
          <w:i w:val="false"/>
          <w:color w:val="000000"/>
          <w:sz w:val="22"/>
        </w:rPr>
        <w:t xml:space="preserve">(161A) </w:t>
      </w:r>
      <w:r>
        <w:rPr>
          <w:rFonts w:ascii="Times New Roman" w:hAnsi="Times New Roman"/>
          <w:b/>
          <w:i w:val="false"/>
          <w:color w:val="000000"/>
          <w:sz w:val="22"/>
        </w:rPr>
        <w:t xml:space="preserve">Budget and staff. </w:t>
      </w:r>
      <w:r>
        <w:rPr>
          <w:rFonts w:ascii="Times New Roman" w:hAnsi="Times New Roman"/>
          <w:b w:val="false"/>
          <w:i w:val="false"/>
          <w:color w:val="000000"/>
          <w:sz w:val="22"/>
        </w:rPr>
        <w:t>Part 5 establishes procedures that the division will follow in providing budgets and staff for projects.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21.50(1)</w:t>
      </w:r>
      <w:r>
        <w:rPr>
          <w:rFonts w:ascii="Times New Roman" w:hAnsi="Times New Roman"/>
          <w:b w:val="false"/>
          <w:i w:val="false"/>
          <w:color w:val="000000"/>
          <w:sz w:val="22"/>
        </w:rPr>
        <w:t> </w:t>
      </w:r>
      <w:r>
        <w:rPr>
          <w:rFonts w:ascii="Times New Roman" w:hAnsi="Times New Roman"/>
          <w:b w:val="false"/>
          <w:i/>
          <w:color w:val="000000"/>
          <w:sz w:val="22"/>
        </w:rPr>
        <w:t xml:space="preserve">Budget. </w:t>
      </w:r>
      <w:r>
        <w:rPr>
          <w:rFonts w:ascii="Times New Roman" w:hAnsi="Times New Roman"/>
          <w:b w:val="false"/>
          <w:i w:val="false"/>
          <w:color w:val="000000"/>
          <w:sz w:val="22"/>
        </w:rPr>
        <w:t>The division will establish an annual budget allocation for each selected project, to support: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Field office staff.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Project expenses.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Commissioner project expenses.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Financial incentives.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21.50(2)</w:t>
      </w:r>
      <w:r>
        <w:rPr>
          <w:rFonts w:ascii="Times New Roman" w:hAnsi="Times New Roman"/>
          <w:b w:val="false"/>
          <w:i w:val="false"/>
          <w:color w:val="000000"/>
          <w:sz w:val="22"/>
        </w:rPr>
        <w:t> </w:t>
      </w:r>
      <w:r>
        <w:rPr>
          <w:rFonts w:ascii="Times New Roman" w:hAnsi="Times New Roman"/>
          <w:b w:val="false"/>
          <w:i/>
          <w:color w:val="000000"/>
          <w:sz w:val="22"/>
        </w:rPr>
        <w:t xml:space="preserve">Staff. </w:t>
      </w:r>
      <w:r>
        <w:rPr>
          <w:rFonts w:ascii="Times New Roman" w:hAnsi="Times New Roman"/>
          <w:b w:val="false"/>
          <w:i w:val="false"/>
          <w:color w:val="000000"/>
          <w:sz w:val="22"/>
        </w:rPr>
        <w:t>Appropriate to the project, the division will establish positions and allocate them to district field offices.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2192C</w:t>
      </w:r>
      <w:r>
        <w:rPr>
          <w:rFonts w:ascii="Times New Roman" w:hAnsi="Times New Roman"/>
          <w:b w:val="false"/>
          <w:i w:val="false"/>
          <w:color w:val="000000"/>
          <w:sz w:val="16"/>
        </w:rPr>
        <w:t>, IAB 10/14/15, effective 11/18/15</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27—21.51</w:t>
      </w:r>
      <w:r>
        <w:rPr>
          <w:rFonts w:ascii="Times New Roman" w:hAnsi="Times New Roman"/>
          <w:b w:val="false"/>
          <w:i w:val="false"/>
          <w:color w:val="000000"/>
          <w:sz w:val="22"/>
        </w:rPr>
        <w:t xml:space="preserve"> to </w:t>
      </w:r>
      <w:r>
        <w:rPr>
          <w:rFonts w:ascii="Times New Roman" w:hAnsi="Times New Roman"/>
          <w:b/>
          <w:i w:val="false"/>
          <w:color w:val="000000"/>
          <w:sz w:val="22"/>
        </w:rPr>
        <w:t>21.59</w:t>
      </w:r>
      <w:r>
        <w:rPr>
          <w:rFonts w:ascii="Times New Roman" w:hAnsi="Times New Roman"/>
          <w:b w:val="false"/>
          <w:i w:val="false"/>
          <w:color w:val="000000"/>
          <w:sz w:val="22"/>
        </w:rPr>
        <w:t>Reserved.</w:t>
      </w:r>
    </w:p>
    <w:p>
      <w:pPr>
        <w:pBdr>
          <w:top w:space="10"/>
        </w:pBdr>
        <w:spacing w:before="0" w:after="0"/>
        <w:ind w:left="120"/>
        <w:jc w:val="center"/>
      </w:pPr>
      <w:r>
        <w:rPr>
          <w:rFonts w:ascii="Times New Roman" w:hAnsi="Times New Roman"/>
          <w:b w:val="false"/>
          <w:i w:val="false"/>
          <w:color w:val="000000"/>
          <w:sz w:val="16"/>
        </w:rPr>
        <w:t>PART 6</w:t>
      </w:r>
    </w:p>
    <w:p>
      <w:pPr>
        <w:pBdr>
          <w:bottom w:space="10"/>
        </w:pBdr>
        <w:spacing w:before="0" w:after="0"/>
        <w:ind w:left="120"/>
        <w:jc w:val="center"/>
      </w:pPr>
      <w:r>
        <w:rPr>
          <w:rFonts w:ascii="Times New Roman" w:hAnsi="Times New Roman"/>
          <w:b w:val="false"/>
          <w:i w:val="false"/>
          <w:color w:val="000000"/>
          <w:sz w:val="16"/>
        </w:rPr>
        <w:t>REPORTING</w:t>
      </w:r>
    </w:p>
    <w:p>
      <w:pPr>
        <w:spacing w:before="0" w:after="0"/>
        <w:ind w:left="120"/>
        <w:jc w:val="both"/>
      </w:pPr>
      <w:r>
        <w:rPr>
          <w:rFonts w:ascii="Times New Roman" w:hAnsi="Times New Roman"/>
          <w:b/>
          <w:i w:val="false"/>
          <w:color w:val="000000"/>
          <w:sz w:val="22"/>
        </w:rPr>
        <w:t>27—21.60</w:t>
      </w:r>
      <w:r>
        <w:rPr>
          <w:rFonts w:ascii="Times New Roman" w:hAnsi="Times New Roman"/>
          <w:b/>
          <w:i w:val="false"/>
          <w:color w:val="000000"/>
          <w:sz w:val="22"/>
        </w:rPr>
        <w:t xml:space="preserve">(161A) </w:t>
      </w:r>
      <w:r>
        <w:rPr>
          <w:rFonts w:ascii="Times New Roman" w:hAnsi="Times New Roman"/>
          <w:b/>
          <w:i w:val="false"/>
          <w:color w:val="000000"/>
          <w:sz w:val="22"/>
        </w:rPr>
        <w:t xml:space="preserve">Project reporting. </w:t>
      </w:r>
      <w:r>
        <w:rPr>
          <w:rFonts w:ascii="Times New Roman" w:hAnsi="Times New Roman"/>
          <w:b w:val="false"/>
          <w:i w:val="false"/>
          <w:color w:val="000000"/>
          <w:sz w:val="22"/>
        </w:rPr>
        <w:t>Part 6 establishes reporting requirements for projects.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21.60(1)</w:t>
      </w:r>
      <w:r>
        <w:rPr>
          <w:rFonts w:ascii="Times New Roman" w:hAnsi="Times New Roman"/>
          <w:b w:val="false"/>
          <w:i w:val="false"/>
          <w:color w:val="000000"/>
          <w:sz w:val="22"/>
        </w:rPr>
        <w:t> </w:t>
      </w:r>
      <w:r>
        <w:rPr>
          <w:rFonts w:ascii="Times New Roman" w:hAnsi="Times New Roman"/>
          <w:b w:val="false"/>
          <w:i/>
          <w:color w:val="000000"/>
          <w:sz w:val="22"/>
        </w:rPr>
        <w:t xml:space="preserve">Annual reports. </w:t>
      </w:r>
      <w:r>
        <w:rPr>
          <w:rFonts w:ascii="Times New Roman" w:hAnsi="Times New Roman"/>
          <w:b w:val="false"/>
          <w:i w:val="false"/>
          <w:color w:val="000000"/>
          <w:sz w:val="22"/>
        </w:rPr>
        <w:t>Annual reports meeting the following criteria will be submitted to the division: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Annual report deadline to be established consistent with the initiation of the project.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annual report will describe accomplishments during the reporting period and compare them to the objectives of the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annual report will itemize funds disbursed during the reporting period.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21.60(2)</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2192C</w:t>
      </w:r>
      <w:r>
        <w:rPr>
          <w:rFonts w:ascii="Times New Roman" w:hAnsi="Times New Roman"/>
          <w:b w:val="false"/>
          <w:i w:val="false"/>
          <w:color w:val="000000"/>
          <w:sz w:val="16"/>
        </w:rPr>
        <w:t>, IAB 10/14/15, effective 11/18/15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27—21.61</w:t>
      </w:r>
      <w:r>
        <w:rPr>
          <w:rFonts w:ascii="Times New Roman" w:hAnsi="Times New Roman"/>
          <w:b/>
          <w:i w:val="false"/>
          <w:color w:val="000000"/>
          <w:sz w:val="22"/>
        </w:rPr>
        <w:t xml:space="preserve">(161A) </w:t>
      </w:r>
      <w:r>
        <w:rPr>
          <w:rFonts w:ascii="Times New Roman" w:hAnsi="Times New Roman"/>
          <w:b/>
          <w:i w:val="false"/>
          <w:color w:val="000000"/>
          <w:sz w:val="22"/>
        </w:rPr>
        <w:t xml:space="preserve">Supplemental reports. </w:t>
      </w:r>
      <w:r>
        <w:rPr>
          <w:rFonts w:ascii="Times New Roman" w:hAnsi="Times New Roman"/>
          <w:b w:val="false"/>
          <w:i w:val="false"/>
          <w:color w:val="000000"/>
          <w:sz w:val="22"/>
        </w:rPr>
        <w:t>Supplemental reports shall be submitted as required by the division.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2192C</w:t>
      </w:r>
      <w:r>
        <w:rPr>
          <w:rFonts w:ascii="Times New Roman" w:hAnsi="Times New Roman"/>
          <w:b w:val="false"/>
          <w:i w:val="false"/>
          <w:color w:val="000000"/>
          <w:sz w:val="16"/>
        </w:rPr>
        <w:t>, IAB 10/14/15, effective 11/18/15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27—21.62</w:t>
      </w:r>
      <w:r>
        <w:rPr>
          <w:rFonts w:ascii="Times New Roman" w:hAnsi="Times New Roman"/>
          <w:b/>
          <w:i w:val="false"/>
          <w:color w:val="000000"/>
          <w:sz w:val="22"/>
        </w:rPr>
        <w:t xml:space="preserve">(161A) </w:t>
      </w:r>
      <w:r>
        <w:rPr>
          <w:rFonts w:ascii="Times New Roman" w:hAnsi="Times New Roman"/>
          <w:b/>
          <w:i w:val="false"/>
          <w:color w:val="000000"/>
          <w:sz w:val="22"/>
        </w:rPr>
        <w:t xml:space="preserve">Content of project reports. </w:t>
      </w:r>
      <w:r>
        <w:rPr>
          <w:rFonts w:ascii="Times New Roman" w:hAnsi="Times New Roman"/>
          <w:b w:val="false"/>
          <w:i w:val="false"/>
          <w:color w:val="000000"/>
          <w:sz w:val="22"/>
        </w:rPr>
        <w:t>All project reports will contain the following credit: “This project is supported in part or in total by the department of agriculture and land stewardship, division of soil conservation and water quality, through funds of the water protection fund.”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2192C</w:t>
      </w:r>
      <w:r>
        <w:rPr>
          <w:rFonts w:ascii="Times New Roman" w:hAnsi="Times New Roman"/>
          <w:b w:val="false"/>
          <w:i w:val="false"/>
          <w:color w:val="000000"/>
          <w:sz w:val="16"/>
        </w:rPr>
        <w:t>, IAB 10/14/15, effective 11/18/15</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27—21.63</w:t>
      </w:r>
      <w:r>
        <w:rPr>
          <w:rFonts w:ascii="Times New Roman" w:hAnsi="Times New Roman"/>
          <w:b w:val="false"/>
          <w:i w:val="false"/>
          <w:color w:val="000000"/>
          <w:sz w:val="22"/>
        </w:rPr>
        <w:t xml:space="preserve"> to </w:t>
      </w:r>
      <w:r>
        <w:rPr>
          <w:rFonts w:ascii="Times New Roman" w:hAnsi="Times New Roman"/>
          <w:b/>
          <w:i w:val="false"/>
          <w:color w:val="000000"/>
          <w:sz w:val="22"/>
        </w:rPr>
        <w:t>21.69</w:t>
      </w:r>
      <w:r>
        <w:rPr>
          <w:rFonts w:ascii="Times New Roman" w:hAnsi="Times New Roman"/>
          <w:b w:val="false"/>
          <w:i w:val="false"/>
          <w:color w:val="000000"/>
          <w:sz w:val="22"/>
        </w:rPr>
        <w:t>Reserved.</w:t>
      </w:r>
    </w:p>
    <w:p>
      <w:pPr>
        <w:pBdr>
          <w:top w:space="10"/>
        </w:pBdr>
        <w:spacing w:before="0" w:after="0"/>
        <w:ind w:left="120"/>
        <w:jc w:val="center"/>
      </w:pPr>
      <w:r>
        <w:rPr>
          <w:rFonts w:ascii="Times New Roman" w:hAnsi="Times New Roman"/>
          <w:b w:val="false"/>
          <w:i w:val="false"/>
          <w:color w:val="000000"/>
          <w:sz w:val="16"/>
        </w:rPr>
        <w:t>PART 7</w:t>
      </w:r>
    </w:p>
    <w:p>
      <w:pPr>
        <w:pBdr>
          <w:bottom w:space="10"/>
        </w:pBdr>
        <w:spacing w:before="0" w:after="0"/>
        <w:ind w:left="120"/>
        <w:jc w:val="center"/>
      </w:pPr>
      <w:r>
        <w:rPr>
          <w:rFonts w:ascii="Times New Roman" w:hAnsi="Times New Roman"/>
          <w:b w:val="false"/>
          <w:i w:val="false"/>
          <w:color w:val="000000"/>
          <w:sz w:val="16"/>
        </w:rPr>
        <w:t>ANNUAL PROJECT REVIEW</w:t>
      </w:r>
    </w:p>
    <w:p>
      <w:pPr>
        <w:spacing w:before="0" w:after="0"/>
        <w:ind w:left="120"/>
        <w:jc w:val="both"/>
      </w:pPr>
      <w:r>
        <w:rPr>
          <w:rFonts w:ascii="Times New Roman" w:hAnsi="Times New Roman"/>
          <w:b/>
          <w:i w:val="false"/>
          <w:color w:val="000000"/>
          <w:sz w:val="22"/>
        </w:rPr>
        <w:t>27—21.70</w:t>
      </w:r>
      <w:r>
        <w:rPr>
          <w:rFonts w:ascii="Times New Roman" w:hAnsi="Times New Roman"/>
          <w:b/>
          <w:i w:val="false"/>
          <w:color w:val="000000"/>
          <w:sz w:val="22"/>
        </w:rPr>
        <w:t xml:space="preserve">(161A) </w:t>
      </w:r>
      <w:r>
        <w:rPr>
          <w:rFonts w:ascii="Times New Roman" w:hAnsi="Times New Roman"/>
          <w:b/>
          <w:i w:val="false"/>
          <w:color w:val="000000"/>
          <w:sz w:val="22"/>
        </w:rPr>
        <w:t xml:space="preserve">Annual project review, continuation, amendment and termination. </w:t>
      </w:r>
      <w:r>
        <w:rPr>
          <w:rFonts w:ascii="Times New Roman" w:hAnsi="Times New Roman"/>
          <w:b w:val="false"/>
          <w:i w:val="false"/>
          <w:color w:val="000000"/>
          <w:sz w:val="22"/>
        </w:rPr>
        <w:t>Part 7 describes procedures that the state soil conservation and water quality committee will follow to review annual progress for each project and to approve continuation, amend, or terminate them.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21.70(1)</w:t>
      </w:r>
      <w:r>
        <w:rPr>
          <w:rFonts w:ascii="Times New Roman" w:hAnsi="Times New Roman"/>
          <w:b w:val="false"/>
          <w:i w:val="false"/>
          <w:color w:val="000000"/>
          <w:sz w:val="22"/>
        </w:rPr>
        <w:t> </w:t>
      </w:r>
      <w:r>
        <w:rPr>
          <w:rFonts w:ascii="Times New Roman" w:hAnsi="Times New Roman"/>
          <w:b w:val="false"/>
          <w:i/>
          <w:color w:val="000000"/>
          <w:sz w:val="22"/>
        </w:rPr>
        <w:t xml:space="preserve">Annual review. </w:t>
      </w:r>
      <w:r>
        <w:rPr>
          <w:rFonts w:ascii="Times New Roman" w:hAnsi="Times New Roman"/>
          <w:b w:val="false"/>
          <w:i w:val="false"/>
          <w:color w:val="000000"/>
          <w:sz w:val="22"/>
        </w:rPr>
        <w:t>The state soil conservation and water quality committee and district(s) will review each project annually. Upon completion of the annual review, the committee will inform the district(s) of their findings. Based on their findings, the committee will do one or more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Instruct the division to establish a budget for the next project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Renegotiate with the applicant district(s) the project objectives, procedures, budget or time schedule.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Terminate the project.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21.70(2)</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2192C</w:t>
      </w:r>
      <w:r>
        <w:rPr>
          <w:rFonts w:ascii="Times New Roman" w:hAnsi="Times New Roman"/>
          <w:b w:val="false"/>
          <w:i w:val="false"/>
          <w:color w:val="000000"/>
          <w:sz w:val="16"/>
        </w:rPr>
        <w:t>, IAB 10/14/15, effective 11/18/15</w:t>
      </w:r>
      <w:r>
        <w:rPr>
          <w:rFonts w:ascii="Times New Roman" w:hAnsi="Times New Roman"/>
          <w:b w:val="false"/>
          <w:i w:val="false"/>
          <w:color w:val="000000"/>
          <w:sz w:val="16"/>
        </w:rPr>
        <w:t xml:space="preserve">; </w:t>
      </w:r>
      <w:r>
        <w:rPr>
          <w:rFonts w:ascii="Times New Roman" w:hAnsi="Times New Roman"/>
          <w:b/>
          <w:i w:val="false"/>
          <w:color w:val="000000"/>
          <w:sz w:val="16"/>
        </w:rPr>
        <w:t>ARC 3243C</w:t>
      </w:r>
      <w:r>
        <w:rPr>
          <w:rFonts w:ascii="Times New Roman" w:hAnsi="Times New Roman"/>
          <w:b w:val="false"/>
          <w:i w:val="false"/>
          <w:color w:val="000000"/>
          <w:sz w:val="16"/>
        </w:rPr>
        <w:t>, IAB 8/2/17, effective 9/6/17</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27—21.71</w:t>
      </w:r>
      <w:r>
        <w:rPr>
          <w:rFonts w:ascii="Times New Roman" w:hAnsi="Times New Roman"/>
          <w:b w:val="false"/>
          <w:i w:val="false"/>
          <w:color w:val="000000"/>
          <w:sz w:val="22"/>
        </w:rPr>
        <w:t xml:space="preserve"> to </w:t>
      </w:r>
      <w:r>
        <w:rPr>
          <w:rFonts w:ascii="Times New Roman" w:hAnsi="Times New Roman"/>
          <w:b/>
          <w:i w:val="false"/>
          <w:color w:val="000000"/>
          <w:sz w:val="22"/>
        </w:rPr>
        <w:t>21.79</w:t>
      </w:r>
      <w:r>
        <w:rPr>
          <w:rFonts w:ascii="Times New Roman" w:hAnsi="Times New Roman"/>
          <w:b w:val="false"/>
          <w:i w:val="false"/>
          <w:color w:val="000000"/>
          <w:sz w:val="22"/>
        </w:rPr>
        <w:t>Reserved.</w:t>
      </w:r>
    </w:p>
    <w:p>
      <w:pPr>
        <w:pBdr>
          <w:top w:space="10"/>
        </w:pBdr>
        <w:spacing w:before="0" w:after="0"/>
        <w:ind w:left="120"/>
        <w:jc w:val="center"/>
      </w:pPr>
      <w:r>
        <w:rPr>
          <w:rFonts w:ascii="Times New Roman" w:hAnsi="Times New Roman"/>
          <w:b w:val="false"/>
          <w:i w:val="false"/>
          <w:color w:val="000000"/>
          <w:sz w:val="16"/>
        </w:rPr>
        <w:t>PART 8</w:t>
      </w:r>
    </w:p>
    <w:p>
      <w:pPr>
        <w:pBdr>
          <w:bottom w:space="10"/>
        </w:pBdr>
        <w:spacing w:before="0" w:after="0"/>
        <w:ind w:left="120"/>
        <w:jc w:val="center"/>
      </w:pPr>
      <w:r>
        <w:rPr>
          <w:rFonts w:ascii="Times New Roman" w:hAnsi="Times New Roman"/>
          <w:b w:val="false"/>
          <w:i w:val="false"/>
          <w:color w:val="000000"/>
          <w:sz w:val="16"/>
        </w:rPr>
        <w:t>PROJECT COMPLETION</w:t>
      </w:r>
    </w:p>
    <w:p>
      <w:pPr>
        <w:spacing w:before="0" w:after="0"/>
        <w:ind w:left="120"/>
        <w:jc w:val="both"/>
      </w:pPr>
      <w:r>
        <w:rPr>
          <w:rFonts w:ascii="Times New Roman" w:hAnsi="Times New Roman"/>
          <w:b/>
          <w:i w:val="false"/>
          <w:color w:val="000000"/>
          <w:sz w:val="22"/>
        </w:rPr>
        <w:t>27—21.80</w:t>
      </w:r>
      <w:r>
        <w:rPr>
          <w:rFonts w:ascii="Times New Roman" w:hAnsi="Times New Roman"/>
          <w:b/>
          <w:i w:val="false"/>
          <w:color w:val="000000"/>
          <w:sz w:val="22"/>
        </w:rPr>
        <w:t xml:space="preserve">(161A) </w:t>
      </w:r>
      <w:r>
        <w:rPr>
          <w:rFonts w:ascii="Times New Roman" w:hAnsi="Times New Roman"/>
          <w:b/>
          <w:i w:val="false"/>
          <w:color w:val="000000"/>
          <w:sz w:val="22"/>
        </w:rPr>
        <w:t xml:space="preserve">Project completion. </w:t>
      </w:r>
      <w:r>
        <w:rPr>
          <w:rFonts w:ascii="Times New Roman" w:hAnsi="Times New Roman"/>
          <w:b w:val="false"/>
          <w:i w:val="false"/>
          <w:color w:val="000000"/>
          <w:sz w:val="22"/>
        </w:rPr>
        <w:t>Part 8 describes the procedures to be followed to close out projects upon completion or termination.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21.80(1)</w:t>
      </w:r>
      <w:r>
        <w:rPr>
          <w:rFonts w:ascii="Times New Roman" w:hAnsi="Times New Roman"/>
          <w:b w:val="false"/>
          <w:i w:val="false"/>
          <w:color w:val="000000"/>
          <w:sz w:val="22"/>
        </w:rPr>
        <w:t> </w:t>
      </w:r>
      <w:r>
        <w:rPr>
          <w:rFonts w:ascii="Times New Roman" w:hAnsi="Times New Roman"/>
          <w:b w:val="false"/>
          <w:i/>
          <w:color w:val="000000"/>
          <w:sz w:val="22"/>
        </w:rPr>
        <w:t xml:space="preserve">Required reports. </w:t>
      </w:r>
      <w:r>
        <w:rPr>
          <w:rFonts w:ascii="Times New Roman" w:hAnsi="Times New Roman"/>
          <w:b w:val="false"/>
          <w:i w:val="false"/>
          <w:color w:val="000000"/>
          <w:sz w:val="22"/>
        </w:rPr>
        <w:t>Upon project completion or termination, the project district(s) will complete the following reports within 90 days: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Final project report that summarizes project accomplishments, comparing them to original project objectives.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Final financial status report on all water project fund expenditures and any participating agency and organization expenditures.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21.80(2)</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2192C</w:t>
      </w:r>
      <w:r>
        <w:rPr>
          <w:rFonts w:ascii="Times New Roman" w:hAnsi="Times New Roman"/>
          <w:b w:val="false"/>
          <w:i w:val="false"/>
          <w:color w:val="000000"/>
          <w:sz w:val="16"/>
        </w:rPr>
        <w:t>, IAB 10/14/15, effective 11/18/15</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27—21.81</w:t>
      </w:r>
      <w:r>
        <w:rPr>
          <w:rFonts w:ascii="Times New Roman" w:hAnsi="Times New Roman"/>
          <w:b w:val="false"/>
          <w:i w:val="false"/>
          <w:color w:val="000000"/>
          <w:sz w:val="22"/>
        </w:rPr>
        <w:t xml:space="preserve"> to </w:t>
      </w:r>
      <w:r>
        <w:rPr>
          <w:rFonts w:ascii="Times New Roman" w:hAnsi="Times New Roman"/>
          <w:b/>
          <w:i w:val="false"/>
          <w:color w:val="000000"/>
          <w:sz w:val="22"/>
        </w:rPr>
        <w:t>21.89</w:t>
      </w:r>
      <w:r>
        <w:rPr>
          <w:rFonts w:ascii="Times New Roman" w:hAnsi="Times New Roman"/>
          <w:b w:val="false"/>
          <w:i w:val="false"/>
          <w:color w:val="000000"/>
          <w:sz w:val="22"/>
        </w:rPr>
        <w:t>Reserved.</w:t>
      </w:r>
    </w:p>
    <w:p>
      <w:pPr>
        <w:spacing w:before="0" w:after="0"/>
        <w:ind w:left="120"/>
        <w:jc w:val="left"/>
      </w:pPr>
      <w:r>
        <w:rPr>
          <w:rFonts w:ascii="Times New Roman" w:hAnsi="Times New Roman"/>
          <w:b w:val="false"/>
          <w:i w:val="false"/>
          <w:color w:val="000000"/>
          <w:sz w:val="22"/>
        </w:rPr>
        <w:t xml:space="preserve">These rules are intended to implement Iowa Code chapter </w:t>
      </w:r>
      <w:hyperlink r:id="rId6">
        <w:r>
          <w:rPr>
            <w:rStyle w:val="Hyperlink"/>
            <w:rFonts w:ascii="Times New Roman" w:hAnsi="Times New Roman"/>
            <w:b w:val="false"/>
            <w:i w:val="false"/>
            <w:color w:val="000000"/>
            <w:sz w:val="22"/>
          </w:rPr>
          <w:t>161A</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11/23/88, Notice 10/5/88—published 12/14/88, effective 1/18/89]</w:t>
      </w:r>
    </w:p>
    <w:p>
      <w:pPr>
        <w:spacing w:before="0" w:after="0"/>
        <w:ind w:left="120"/>
        <w:jc w:val="center"/>
      </w:pPr>
      <w:r>
        <w:rPr>
          <w:rFonts w:ascii="Times New Roman" w:hAnsi="Times New Roman"/>
          <w:b w:val="false"/>
          <w:i w:val="false"/>
          <w:color w:val="000000"/>
          <w:sz w:val="21"/>
        </w:rPr>
        <w:t>[Filed ARC 2192C</w:t>
      </w:r>
      <w:r>
        <w:rPr>
          <w:rFonts w:ascii="Times New Roman" w:hAnsi="Times New Roman"/>
          <w:b w:val="false"/>
          <w:i w:val="false"/>
          <w:color w:val="000000"/>
          <w:sz w:val="21"/>
        </w:rPr>
        <w:t xml:space="preserve"> (Notice ARC 2102C, IAB 8/19/15)</w:t>
      </w:r>
      <w:r>
        <w:rPr>
          <w:rFonts w:ascii="Times New Roman" w:hAnsi="Times New Roman"/>
          <w:b w:val="false"/>
          <w:i w:val="false"/>
          <w:color w:val="000000"/>
          <w:sz w:val="21"/>
        </w:rPr>
        <w:t>, IAB 10/14/15, effective 11/18/15]</w:t>
      </w:r>
    </w:p>
    <w:p>
      <w:pPr>
        <w:spacing w:before="0" w:after="0"/>
        <w:ind w:left="120"/>
        <w:jc w:val="center"/>
      </w:pPr>
      <w:r>
        <w:rPr>
          <w:rFonts w:ascii="Times New Roman" w:hAnsi="Times New Roman"/>
          <w:b w:val="false"/>
          <w:i w:val="false"/>
          <w:color w:val="000000"/>
          <w:sz w:val="21"/>
        </w:rPr>
        <w:t>[Filed ARC 3243C</w:t>
      </w:r>
      <w:r>
        <w:rPr>
          <w:rFonts w:ascii="Times New Roman" w:hAnsi="Times New Roman"/>
          <w:b w:val="false"/>
          <w:i w:val="false"/>
          <w:color w:val="000000"/>
          <w:sz w:val="21"/>
        </w:rPr>
        <w:t xml:space="preserve"> (Notice ARC 3086C, IAB 6/7/17)</w:t>
      </w:r>
      <w:r>
        <w:rPr>
          <w:rFonts w:ascii="Times New Roman" w:hAnsi="Times New Roman"/>
          <w:b w:val="false"/>
          <w:i w:val="false"/>
          <w:color w:val="000000"/>
          <w:sz w:val="21"/>
        </w:rPr>
        <w:t>, IAB 8/2/17, effective 9/6/17]</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161C.pdf" Type="http://schemas.openxmlformats.org/officeDocument/2006/relationships/hyperlink" Id="rId5"/>
    <Relationship TargetMode="External" Target="https://www.legis.iowa.gov/docs/ico/chapter/161A.pdf" Type="http://schemas.openxmlformats.org/officeDocument/2006/relationships/hyperlink" Id="rId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