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IOWA SOIL 2000 PROGRAM</w:t>
      </w:r>
    </w:p>
    <w:p>
      <w:pPr>
        <w:spacing w:before="0" w:after="0"/>
        <w:ind w:left="120"/>
        <w:jc w:val="center"/>
      </w:pPr>
      <w:r>
        <w:rPr>
          <w:rFonts w:ascii="Times New Roman" w:hAnsi="Times New Roman"/>
          <w:b w:val="false"/>
          <w:i w:val="false"/>
          <w:color w:val="000000"/>
          <w:sz w:val="14"/>
        </w:rPr>
        <w:t>[Prior to 12/28/88, see Soil Conservation Department, 780—Ch 6]</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PART 1</w:t>
      </w:r>
    </w:p>
    <w:p>
      <w:pPr>
        <w:spacing w:before="210" w:after="0"/>
        <w:ind w:left="120"/>
        <w:jc w:val="both"/>
      </w:pPr>
      <w:r>
        <w:rPr>
          <w:rFonts w:ascii="Times New Roman" w:hAnsi="Times New Roman"/>
          <w:b/>
          <w:i w:val="false"/>
          <w:color w:val="000000"/>
          <w:sz w:val="22"/>
        </w:rPr>
        <w:t>27—20.1</w:t>
      </w:r>
      <w:r>
        <w:rPr>
          <w:rFonts w:ascii="Times New Roman" w:hAnsi="Times New Roman"/>
          <w:b w:val="false"/>
          <w:i w:val="false"/>
          <w:color w:val="000000"/>
          <w:sz w:val="22"/>
        </w:rPr>
        <w:t xml:space="preserve"> to </w:t>
      </w:r>
      <w:r>
        <w:rPr>
          <w:rFonts w:ascii="Times New Roman" w:hAnsi="Times New Roman"/>
          <w:b/>
          <w:i w:val="false"/>
          <w:color w:val="000000"/>
          <w:sz w:val="22"/>
        </w:rPr>
        <w:t>20.9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27—20.10</w:t>
      </w:r>
      <w:r>
        <w:rPr>
          <w:rFonts w:ascii="Times New Roman" w:hAnsi="Times New Roman"/>
          <w:b/>
          <w:i w:val="false"/>
          <w:color w:val="000000"/>
          <w:sz w:val="22"/>
        </w:rPr>
        <w:t xml:space="preserve">(161A) </w:t>
      </w:r>
      <w:r>
        <w:rPr>
          <w:rFonts w:ascii="Times New Roman" w:hAnsi="Times New Roman"/>
          <w:b/>
          <w:i w:val="false"/>
          <w:color w:val="000000"/>
          <w:sz w:val="22"/>
        </w:rPr>
        <w:t xml:space="preserve">Authority and scope. </w:t>
      </w:r>
      <w:r>
        <w:rPr>
          <w:rFonts w:ascii="Times New Roman" w:hAnsi="Times New Roman"/>
          <w:b w:val="false"/>
          <w:i w:val="false"/>
          <w:color w:val="000000"/>
          <w:sz w:val="22"/>
        </w:rPr>
        <w:t>This chapter establishes procedures and standards to be followed by the division of soil conservation and water quality, department of agriculture and land stewardship, in accordance with the policies of the state soil conservation and water quality committee in implementing the Iowa Soil 2000 Program goal of satisfactorily controlling erosion on all Iowa land. It also establishes standards and guidelines which the soil and water conservation districts will use in fulfilling their responsibilities under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27—20.11</w:t>
      </w:r>
      <w:r>
        <w:rPr>
          <w:rFonts w:ascii="Times New Roman" w:hAnsi="Times New Roman"/>
          <w:b/>
          <w:i w:val="false"/>
          <w:color w:val="000000"/>
          <w:sz w:val="22"/>
        </w:rPr>
        <w:t xml:space="preserve">(161A) </w:t>
      </w:r>
      <w:r>
        <w:rPr>
          <w:rFonts w:ascii="Times New Roman" w:hAnsi="Times New Roman"/>
          <w:b/>
          <w:i w:val="false"/>
          <w:color w:val="000000"/>
          <w:sz w:val="22"/>
        </w:rPr>
        <w:t xml:space="preserve">Rules or subrules are severable. </w:t>
      </w:r>
      <w:r>
        <w:rPr>
          <w:rFonts w:ascii="Times New Roman" w:hAnsi="Times New Roman"/>
          <w:b w:val="false"/>
          <w:i w:val="false"/>
          <w:color w:val="000000"/>
          <w:sz w:val="22"/>
        </w:rPr>
        <w:t>If any provision of a rule or subrule or the application thereof to any person or circumstance is held invalid, the invalidity does not affect other provisions or applications of the rule or subrule which can be given effect without invalid provision or application, and to this end the provisions of these rules or subrules are severable.</w:t>
      </w:r>
    </w:p>
    <w:p>
      <w:pPr>
        <w:spacing w:before="210" w:after="0"/>
        <w:ind w:left="120"/>
        <w:jc w:val="both"/>
      </w:pPr>
      <w:r>
        <w:rPr>
          <w:rFonts w:ascii="Times New Roman" w:hAnsi="Times New Roman"/>
          <w:b/>
          <w:i w:val="false"/>
          <w:color w:val="000000"/>
          <w:sz w:val="22"/>
        </w:rPr>
        <w:t>27—20.12</w:t>
      </w:r>
      <w:r>
        <w:rPr>
          <w:rFonts w:ascii="Times New Roman" w:hAnsi="Times New Roman"/>
          <w:b w:val="false"/>
          <w:i w:val="false"/>
          <w:color w:val="000000"/>
          <w:sz w:val="22"/>
        </w:rPr>
        <w:t xml:space="preserve"> to </w:t>
      </w:r>
      <w:r>
        <w:rPr>
          <w:rFonts w:ascii="Times New Roman" w:hAnsi="Times New Roman"/>
          <w:b/>
          <w:i w:val="false"/>
          <w:color w:val="000000"/>
          <w:sz w:val="22"/>
        </w:rPr>
        <w:t>20.19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2</w:t>
      </w:r>
    </w:p>
    <w:p>
      <w:pPr>
        <w:spacing w:before="0" w:after="0"/>
        <w:ind w:left="120"/>
        <w:jc w:val="both"/>
      </w:pPr>
      <w:r>
        <w:rPr>
          <w:rFonts w:ascii="Times New Roman" w:hAnsi="Times New Roman"/>
          <w:b/>
          <w:i w:val="false"/>
          <w:color w:val="000000"/>
          <w:sz w:val="22"/>
        </w:rPr>
        <w:t>27—20.20</w:t>
      </w:r>
      <w:r>
        <w:rPr>
          <w:rFonts w:ascii="Times New Roman" w:hAnsi="Times New Roman"/>
          <w:b/>
          <w:i w:val="false"/>
          <w:color w:val="000000"/>
          <w:sz w:val="22"/>
        </w:rPr>
        <w:t xml:space="preserve">(161A) </w:t>
      </w:r>
      <w:r>
        <w:rPr>
          <w:rFonts w:ascii="Times New Roman" w:hAnsi="Times New Roman"/>
          <w:b/>
          <w:i w:val="false"/>
          <w:color w:val="000000"/>
          <w:sz w:val="22"/>
        </w:rPr>
        <w:t xml:space="preserve">Availability, development, distribution, updating and notice of conservation folders. </w:t>
      </w:r>
      <w:r>
        <w:rPr>
          <w:rFonts w:ascii="Times New Roman" w:hAnsi="Times New Roman"/>
          <w:b w:val="false"/>
          <w:i w:val="false"/>
          <w:color w:val="000000"/>
          <w:sz w:val="22"/>
        </w:rPr>
        <w:t>This division establishes rules for the development, distribution, updating, and minimum requirements for notifying landowners that a conservation folder has been developed. This section also defines the responsibilities of the seller and the district to provide copies of conservation folders and farm unit soil conservation plans to a prospective purchaser.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20.20(1)</w:t>
      </w:r>
      <w:r>
        <w:rPr>
          <w:rFonts w:ascii="Times New Roman" w:hAnsi="Times New Roman"/>
          <w:b w:val="false"/>
          <w:i w:val="false"/>
          <w:color w:val="000000"/>
          <w:sz w:val="22"/>
        </w:rPr>
        <w:t> </w:t>
      </w:r>
      <w:r>
        <w:rPr>
          <w:rFonts w:ascii="Times New Roman" w:hAnsi="Times New Roman"/>
          <w:b w:val="false"/>
          <w:i/>
          <w:color w:val="000000"/>
          <w:sz w:val="22"/>
        </w:rPr>
        <w:t xml:space="preserve">Priority for development of conservation folders. </w:t>
      </w:r>
      <w:r>
        <w:rPr>
          <w:rFonts w:ascii="Times New Roman" w:hAnsi="Times New Roman"/>
          <w:b w:val="false"/>
          <w:i w:val="false"/>
          <w:color w:val="000000"/>
          <w:sz w:val="22"/>
        </w:rPr>
        <w:t xml:space="preserve">The district staff when developing conservation folders as required by Iowa Code section </w:t>
      </w:r>
      <w:hyperlink r:id="rId5">
        <w:r>
          <w:rPr>
            <w:rStyle w:val="Hyperlink"/>
            <w:rFonts w:ascii="Times New Roman" w:hAnsi="Times New Roman"/>
            <w:b w:val="false"/>
            <w:i w:val="false"/>
            <w:color w:val="000000"/>
            <w:sz w:val="22"/>
          </w:rPr>
          <w:t>161A.62</w:t>
        </w:r>
      </w:hyperlink>
      <w:r>
        <w:rPr>
          <w:rFonts w:ascii="Times New Roman" w:hAnsi="Times New Roman"/>
          <w:b w:val="false"/>
          <w:i w:val="false"/>
          <w:color w:val="000000"/>
          <w:sz w:val="22"/>
        </w:rPr>
        <w:t xml:space="preserve"> will include as a minimum the content items required by </w:t>
      </w:r>
      <w:hyperlink r:id="rId6">
        <w:r>
          <w:rPr>
            <w:rStyle w:val="Hyperlink"/>
            <w:rFonts w:ascii="Times New Roman" w:hAnsi="Times New Roman"/>
            <w:b w:val="false"/>
            <w:i w:val="false"/>
            <w:color w:val="000000"/>
            <w:sz w:val="22"/>
          </w:rPr>
          <w:t>27—20.30</w:t>
        </w:r>
      </w:hyperlink>
      <w:r>
        <w:rPr>
          <w:rFonts w:ascii="Times New Roman" w:hAnsi="Times New Roman"/>
          <w:b w:val="false"/>
          <w:i w:val="false"/>
          <w:color w:val="000000"/>
          <w:sz w:val="22"/>
        </w:rPr>
        <w:t>(161A) of these rules.</w:t>
      </w:r>
    </w:p>
    <w:p>
      <w:pPr>
        <w:spacing w:before="0" w:after="0"/>
        <w:ind w:left="120"/>
        <w:jc w:val="both"/>
      </w:pPr>
      <w:r>
        <w:rPr>
          <w:rFonts w:ascii="Times New Roman" w:hAnsi="Times New Roman"/>
          <w:b w:val="false"/>
          <w:i w:val="false"/>
          <w:color w:val="000000"/>
          <w:sz w:val="22"/>
        </w:rPr>
        <w:t>The district commissioners will select priority watershed(s) or area(s) within their district, using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Highest priority will be given to watersheds or areas with the largest percentage of acreage of soils in the first priority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Lowest priority will be given to watersheds or areas with the largest percentage of acreage of soils in the fifth priority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after screening watersheds or areas against these priority criteria, no watersheds or areas fall in the highest priority, that district will select the next highest category for which soils exist in that district as the top priority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Fragile soils which under present agricultural use and management will be depleted in 20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Fragile soils which under present agricultural use and management will be depleted in 40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Excessively eroding soils that under present agricultural use and management are eroding greater than 15 tons per acre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Excessively eroding soils that under present agricultural use and management are eroding greater than 10 tons per acre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Excessively eroding soils that under present agricultural use and management are eroding greater than the districts adopted soil loss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20.20(2)</w:t>
      </w:r>
      <w:r>
        <w:rPr>
          <w:rFonts w:ascii="Times New Roman" w:hAnsi="Times New Roman"/>
          <w:b w:val="false"/>
          <w:i w:val="false"/>
          <w:color w:val="000000"/>
          <w:sz w:val="22"/>
        </w:rPr>
        <w:t> </w:t>
      </w:r>
      <w:r>
        <w:rPr>
          <w:rFonts w:ascii="Times New Roman" w:hAnsi="Times New Roman"/>
          <w:b w:val="false"/>
          <w:i/>
          <w:color w:val="000000"/>
          <w:sz w:val="22"/>
        </w:rPr>
        <w:t xml:space="preserve">Rate of development of conservation folders. </w:t>
      </w:r>
      <w:r>
        <w:rPr>
          <w:rFonts w:ascii="Times New Roman" w:hAnsi="Times New Roman"/>
          <w:b w:val="false"/>
          <w:i w:val="false"/>
          <w:color w:val="000000"/>
          <w:sz w:val="22"/>
        </w:rPr>
        <w:t xml:space="preserve">Iowa Code section </w:t>
      </w:r>
      <w:hyperlink r:id="rId7">
        <w:r>
          <w:rPr>
            <w:rStyle w:val="Hyperlink"/>
            <w:rFonts w:ascii="Times New Roman" w:hAnsi="Times New Roman"/>
            <w:b w:val="false"/>
            <w:i w:val="false"/>
            <w:color w:val="000000"/>
            <w:sz w:val="22"/>
          </w:rPr>
          <w:t>161A.62(1)</w:t>
        </w:r>
      </w:hyperlink>
      <w:r>
        <w:rPr>
          <w:rFonts w:ascii="Times New Roman" w:hAnsi="Times New Roman"/>
          <w:b w:val="false"/>
          <w:i/>
          <w:color w:val="000000"/>
          <w:sz w:val="22"/>
        </w:rPr>
        <w:t>“a”</w:t>
      </w:r>
      <w:r>
        <w:rPr>
          <w:rFonts w:ascii="Times New Roman" w:hAnsi="Times New Roman"/>
          <w:b w:val="false"/>
          <w:i w:val="false"/>
          <w:color w:val="000000"/>
          <w:sz w:val="22"/>
        </w:rPr>
        <w:t xml:space="preserve"> requires that each farm unit must be furnished a conservation folder not later than January 1, 1985, or as soon thereafter as funding is available.</w:t>
      </w:r>
    </w:p>
    <w:p>
      <w:pPr>
        <w:spacing w:before="0" w:after="0"/>
        <w:ind w:left="120"/>
        <w:jc w:val="both"/>
      </w:pPr>
      <w:r>
        <w:rPr>
          <w:rFonts w:ascii="Times New Roman" w:hAnsi="Times New Roman"/>
          <w:b w:val="false"/>
          <w:i w:val="false"/>
          <w:color w:val="000000"/>
          <w:sz w:val="22"/>
        </w:rPr>
        <w:t>The number of conservation folders to be developed in any given year will be at a rate established in the annual work plan developed and adopted by the commissioners of that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landowner and operator. </w:t>
      </w:r>
      <w:r>
        <w:rPr>
          <w:rFonts w:ascii="Times New Roman" w:hAnsi="Times New Roman"/>
          <w:b w:val="false"/>
          <w:i w:val="false"/>
          <w:color w:val="000000"/>
          <w:sz w:val="22"/>
        </w:rPr>
        <w:t xml:space="preserve">Iowa Code section </w:t>
      </w:r>
      <w:hyperlink r:id="rId8">
        <w:r>
          <w:rPr>
            <w:rStyle w:val="Hyperlink"/>
            <w:rFonts w:ascii="Times New Roman" w:hAnsi="Times New Roman"/>
            <w:b w:val="false"/>
            <w:i w:val="false"/>
            <w:color w:val="000000"/>
            <w:sz w:val="22"/>
          </w:rPr>
          <w:t>161A.62</w:t>
        </w:r>
      </w:hyperlink>
      <w:r>
        <w:rPr>
          <w:rFonts w:ascii="Times New Roman" w:hAnsi="Times New Roman"/>
          <w:b w:val="false"/>
          <w:i w:val="false"/>
          <w:color w:val="000000"/>
          <w:sz w:val="22"/>
        </w:rPr>
        <w:t xml:space="preserve"> requires notification of appropriate parties and the keeping of certain records.</w:t>
      </w:r>
    </w:p>
    <w:p>
      <w:pPr>
        <w:spacing w:before="0" w:after="0"/>
        <w:ind w:left="120"/>
        <w:jc w:val="both"/>
      </w:pPr>
      <w:r>
        <w:rPr>
          <w:rFonts w:ascii="Times New Roman" w:hAnsi="Times New Roman"/>
          <w:b w:val="false"/>
          <w:i w:val="false"/>
          <w:color w:val="000000"/>
          <w:sz w:val="22"/>
        </w:rPr>
        <w:t xml:space="preserve">Notification that a particular conservation folder is completed will be sent on a date specified by the commissioners. The district records concerning completion and notification of availability of the conservation folder will be maintained in the manner prescribed in </w:t>
      </w:r>
      <w:hyperlink r:id="rId9">
        <w:r>
          <w:rPr>
            <w:rStyle w:val="Hyperlink"/>
            <w:rFonts w:ascii="Times New Roman" w:hAnsi="Times New Roman"/>
            <w:b w:val="false"/>
            <w:i w:val="false"/>
            <w:color w:val="000000"/>
            <w:sz w:val="22"/>
          </w:rPr>
          <w:t>27—20.60</w:t>
        </w:r>
      </w:hyperlink>
      <w:r>
        <w:rPr>
          <w:rFonts w:ascii="Times New Roman" w:hAnsi="Times New Roman"/>
          <w:b w:val="false"/>
          <w:i w:val="false"/>
          <w:color w:val="000000"/>
          <w:sz w:val="22"/>
        </w:rPr>
        <w:t>(161A)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completion. A conservation folder will be certified complete upon a vote of approval by the commissioners, on a motion at any regular or special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landowner and operator. Following certification of completion by the commissioners, the chairman will send a letter by regular mail to the landowner and the operator if known to the commissioners. The letter will offer those persons a copy of the conservation folder in accordance with a distribution procedure adopted by the commissioners in compliance with the guidelines of subrule </w:t>
      </w:r>
      <w:hyperlink r:id="rId10">
        <w:r>
          <w:rPr>
            <w:rStyle w:val="Hyperlink"/>
            <w:rFonts w:ascii="Times New Roman" w:hAnsi="Times New Roman"/>
            <w:b w:val="false"/>
            <w:i w:val="false"/>
            <w:color w:val="000000"/>
            <w:sz w:val="22"/>
          </w:rPr>
          <w:t>20.20(4)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20.20(4)</w:t>
      </w:r>
      <w:r>
        <w:rPr>
          <w:rFonts w:ascii="Times New Roman" w:hAnsi="Times New Roman"/>
          <w:b w:val="false"/>
          <w:i w:val="false"/>
          <w:color w:val="000000"/>
          <w:sz w:val="22"/>
        </w:rPr>
        <w:t> </w:t>
      </w:r>
      <w:r>
        <w:rPr>
          <w:rFonts w:ascii="Times New Roman" w:hAnsi="Times New Roman"/>
          <w:b w:val="false"/>
          <w:i/>
          <w:color w:val="000000"/>
          <w:sz w:val="22"/>
        </w:rPr>
        <w:t xml:space="preserve">Distribution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annual work plan adopted by the commissioners will specify, within these guidelines, a conservation folder distribution procedure for use in their district. These procedures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Neighborhood meetings may be utilized to deliver conservation folders to landowners or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delivery may be by district staff, a commissioner, assistant commissioner, or any individual the commissioners deem qualified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Mailing of conservation folders will only be used in those cases where the individual cannot reasonably be contacted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20.20(5)</w:t>
      </w:r>
      <w:r>
        <w:rPr>
          <w:rFonts w:ascii="Times New Roman" w:hAnsi="Times New Roman"/>
          <w:b w:val="false"/>
          <w:i w:val="false"/>
          <w:color w:val="000000"/>
          <w:sz w:val="22"/>
        </w:rPr>
        <w:t> </w:t>
      </w:r>
      <w:r>
        <w:rPr>
          <w:rFonts w:ascii="Times New Roman" w:hAnsi="Times New Roman"/>
          <w:b w:val="false"/>
          <w:i/>
          <w:color w:val="000000"/>
          <w:sz w:val="22"/>
        </w:rPr>
        <w:t xml:space="preserve">Updating conservation folders. </w:t>
      </w:r>
      <w:r>
        <w:rPr>
          <w:rFonts w:ascii="Times New Roman" w:hAnsi="Times New Roman"/>
          <w:b w:val="false"/>
          <w:i w:val="false"/>
          <w:color w:val="000000"/>
          <w:sz w:val="22"/>
        </w:rPr>
        <w:t xml:space="preserve">Conservation folders previously distributed may be updated at any time the commissioners determine that to do so would be appropriate and helpful to landowners and operators. Records concerning delivery of updated material will be in accordance with </w:t>
      </w:r>
      <w:hyperlink r:id="rId11">
        <w:r>
          <w:rPr>
            <w:rStyle w:val="Hyperlink"/>
            <w:rFonts w:ascii="Times New Roman" w:hAnsi="Times New Roman"/>
            <w:b w:val="false"/>
            <w:i w:val="false"/>
            <w:color w:val="000000"/>
            <w:sz w:val="22"/>
          </w:rPr>
          <w:t>20.60</w:t>
        </w:r>
      </w:hyperlink>
      <w:r>
        <w:rPr>
          <w:rFonts w:ascii="Times New Roman" w:hAnsi="Times New Roman"/>
          <w:b w:val="false"/>
          <w:i w:val="false"/>
          <w:color w:val="000000"/>
          <w:sz w:val="22"/>
        </w:rPr>
        <w:t>(161A)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20.20(6)</w:t>
      </w:r>
      <w:r>
        <w:rPr>
          <w:rFonts w:ascii="Times New Roman" w:hAnsi="Times New Roman"/>
          <w:b w:val="false"/>
          <w:i w:val="false"/>
          <w:color w:val="000000"/>
          <w:sz w:val="22"/>
        </w:rPr>
        <w:t> </w:t>
      </w:r>
      <w:r>
        <w:rPr>
          <w:rFonts w:ascii="Times New Roman" w:hAnsi="Times New Roman"/>
          <w:b w:val="false"/>
          <w:i/>
          <w:color w:val="000000"/>
          <w:sz w:val="22"/>
        </w:rPr>
        <w:t xml:space="preserve">Certified updated farm plan. </w:t>
      </w:r>
      <w:r>
        <w:rPr>
          <w:rFonts w:ascii="Times New Roman" w:hAnsi="Times New Roman"/>
          <w:b w:val="false"/>
          <w:i w:val="false"/>
          <w:color w:val="000000"/>
          <w:sz w:val="22"/>
        </w:rPr>
        <w:t>An existing farm plan prepared for a particular farm unit in January 1971 or later may be certified by the commissioners, as adequate replacement for the conservation folder upon: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Commissioner review to determine that the farm plan provides adequate information to meet the intent and purposes of the conservation folder.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Updating the farm plan, if needed, with supplemental information to bring the farm plan into conformance with the conservation folder.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of adequacy upon a vote of approval by the commissioners on a motion at any regular or special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Establishment of a record and file for that farm plan in compliance with </w:t>
      </w:r>
      <w:hyperlink r:id="rId12">
        <w:r>
          <w:rPr>
            <w:rStyle w:val="Hyperlink"/>
            <w:rFonts w:ascii="Times New Roman" w:hAnsi="Times New Roman"/>
            <w:b w:val="false"/>
            <w:i w:val="false"/>
            <w:color w:val="000000"/>
            <w:sz w:val="22"/>
          </w:rPr>
          <w:t>20.61</w:t>
        </w:r>
      </w:hyperlink>
      <w:r>
        <w:rPr>
          <w:rFonts w:ascii="Times New Roman" w:hAnsi="Times New Roman"/>
          <w:b w:val="false"/>
          <w:i w:val="false"/>
          <w:color w:val="000000"/>
          <w:sz w:val="22"/>
        </w:rPr>
        <w:t>(161A)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20.20(7)</w:t>
      </w:r>
      <w:r>
        <w:rPr>
          <w:rFonts w:ascii="Times New Roman" w:hAnsi="Times New Roman"/>
          <w:b w:val="false"/>
          <w:i w:val="false"/>
          <w:color w:val="000000"/>
          <w:sz w:val="22"/>
        </w:rPr>
        <w:t> </w:t>
      </w:r>
      <w:r>
        <w:rPr>
          <w:rFonts w:ascii="Times New Roman" w:hAnsi="Times New Roman"/>
          <w:b w:val="false"/>
          <w:i/>
          <w:color w:val="000000"/>
          <w:sz w:val="22"/>
        </w:rPr>
        <w:t xml:space="preserve">Availability to prospective purchasers.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 conservation folder or farm unit soil conservation plan will be made available for review in the district office to any prospective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explaining conservation cover will be supplied to any prospective purchaser when that individual reviews a copy of either a conservation folder or farm unit soil conservation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Seller’s responsibility. The seller of land, which has a conservation folder or a farm unit soil conservation plan, will either provide that person copies of these documents or refer the prospective purchaser to the district.</w:t>
      </w:r>
    </w:p>
    <w:p>
      <w:pPr>
        <w:spacing w:before="210" w:after="0"/>
        <w:ind w:left="120"/>
        <w:jc w:val="both"/>
      </w:pPr>
      <w:r>
        <w:rPr>
          <w:rFonts w:ascii="Times New Roman" w:hAnsi="Times New Roman"/>
          <w:b/>
          <w:i w:val="false"/>
          <w:color w:val="000000"/>
          <w:sz w:val="22"/>
        </w:rPr>
        <w:t>27—20.21</w:t>
      </w:r>
      <w:r>
        <w:rPr>
          <w:rFonts w:ascii="Times New Roman" w:hAnsi="Times New Roman"/>
          <w:b w:val="false"/>
          <w:i w:val="false"/>
          <w:color w:val="000000"/>
          <w:sz w:val="22"/>
        </w:rPr>
        <w:t xml:space="preserve"> to </w:t>
      </w:r>
      <w:r>
        <w:rPr>
          <w:rFonts w:ascii="Times New Roman" w:hAnsi="Times New Roman"/>
          <w:b/>
          <w:i w:val="false"/>
          <w:color w:val="000000"/>
          <w:sz w:val="22"/>
        </w:rPr>
        <w:t>20.29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3</w:t>
      </w:r>
    </w:p>
    <w:p>
      <w:pPr>
        <w:spacing w:before="0" w:after="0"/>
        <w:ind w:left="120"/>
        <w:jc w:val="both"/>
      </w:pPr>
      <w:r>
        <w:rPr>
          <w:rFonts w:ascii="Times New Roman" w:hAnsi="Times New Roman"/>
          <w:b/>
          <w:i w:val="false"/>
          <w:color w:val="000000"/>
          <w:sz w:val="22"/>
        </w:rPr>
        <w:t>27—20.30</w:t>
      </w:r>
      <w:r>
        <w:rPr>
          <w:rFonts w:ascii="Times New Roman" w:hAnsi="Times New Roman"/>
          <w:b/>
          <w:i w:val="false"/>
          <w:color w:val="000000"/>
          <w:sz w:val="22"/>
        </w:rPr>
        <w:t xml:space="preserve">(161A) </w:t>
      </w:r>
      <w:r>
        <w:rPr>
          <w:rFonts w:ascii="Times New Roman" w:hAnsi="Times New Roman"/>
          <w:b/>
          <w:i w:val="false"/>
          <w:color w:val="000000"/>
          <w:sz w:val="22"/>
        </w:rPr>
        <w:t xml:space="preserve">Conservation folder content. </w:t>
      </w:r>
      <w:r>
        <w:rPr>
          <w:rFonts w:ascii="Times New Roman" w:hAnsi="Times New Roman"/>
          <w:b w:val="false"/>
          <w:i w:val="false"/>
          <w:color w:val="000000"/>
          <w:sz w:val="22"/>
        </w:rPr>
        <w:t>This division establishes rules concerning required content items and establishes guidelines for the inclusion of additional material at the discretion of the commissioners. The conservation folder contents will provide the landowner and operator with adequate information to develop an understanding of the impacts of excessive erosion, the approximate rate of erosion on their own land, potential alternative solutions to excessive erosion, their erosion control obligations under Iowa law and information about available educational, technical and 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20.30(1)</w:t>
      </w:r>
      <w:r>
        <w:rPr>
          <w:rFonts w:ascii="Times New Roman" w:hAnsi="Times New Roman"/>
          <w:b w:val="false"/>
          <w:i w:val="false"/>
          <w:color w:val="000000"/>
          <w:sz w:val="22"/>
        </w:rPr>
        <w:t> </w:t>
      </w:r>
      <w:r>
        <w:rPr>
          <w:rFonts w:ascii="Times New Roman" w:hAnsi="Times New Roman"/>
          <w:b w:val="false"/>
          <w:i/>
          <w:color w:val="000000"/>
          <w:sz w:val="22"/>
        </w:rPr>
        <w:t xml:space="preserve">Standard conservation folder content.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Concise document covering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Short-term and long-term economic effects of erosion.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Effects associated with potential land treatments; economic, yield, operational,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Low cost land treatment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Explanation of Iowa’s soil conservation laws and landowner’s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Erosion’s impact on long-term productivity.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District specific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Estimated erosion rates in the local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Rates of acceptable soil loss in the local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Potential erosion rates for the dominant soils of the farm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on educational, technical, and financial assistance available from various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20.30(2)</w:t>
      </w:r>
      <w:r>
        <w:rPr>
          <w:rFonts w:ascii="Times New Roman" w:hAnsi="Times New Roman"/>
          <w:b w:val="false"/>
          <w:i w:val="false"/>
          <w:color w:val="000000"/>
          <w:sz w:val="22"/>
        </w:rPr>
        <w:t> </w:t>
      </w:r>
      <w:r>
        <w:rPr>
          <w:rFonts w:ascii="Times New Roman" w:hAnsi="Times New Roman"/>
          <w:b w:val="false"/>
          <w:i/>
          <w:color w:val="000000"/>
          <w:sz w:val="22"/>
        </w:rPr>
        <w:t xml:space="preserve">Supplemental conservation folder content. </w:t>
      </w:r>
      <w:r>
        <w:rPr>
          <w:rFonts w:ascii="Times New Roman" w:hAnsi="Times New Roman"/>
          <w:b w:val="false"/>
          <w:i w:val="false"/>
          <w:color w:val="000000"/>
          <w:sz w:val="22"/>
        </w:rPr>
        <w:t>The commissioners may at their own discretion include local information that might be beneficial to landowners and operators in the furtherance of soil conservation and the protection and maintenance of the future productivity of the soil.</w:t>
      </w:r>
    </w:p>
    <w:p>
      <w:pPr>
        <w:spacing w:before="210" w:after="0"/>
        <w:ind w:left="120"/>
        <w:jc w:val="both"/>
      </w:pPr>
      <w:r>
        <w:rPr>
          <w:rFonts w:ascii="Times New Roman" w:hAnsi="Times New Roman"/>
          <w:b/>
          <w:i w:val="false"/>
          <w:color w:val="000000"/>
          <w:sz w:val="22"/>
        </w:rPr>
        <w:t>27—20.31</w:t>
      </w:r>
      <w:r>
        <w:rPr>
          <w:rFonts w:ascii="Times New Roman" w:hAnsi="Times New Roman"/>
          <w:b w:val="false"/>
          <w:i w:val="false"/>
          <w:color w:val="000000"/>
          <w:sz w:val="22"/>
        </w:rPr>
        <w:t xml:space="preserve"> to </w:t>
      </w:r>
      <w:r>
        <w:rPr>
          <w:rFonts w:ascii="Times New Roman" w:hAnsi="Times New Roman"/>
          <w:b/>
          <w:i w:val="false"/>
          <w:color w:val="000000"/>
          <w:sz w:val="22"/>
        </w:rPr>
        <w:t>20.39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4</w:t>
      </w:r>
    </w:p>
    <w:p>
      <w:pPr>
        <w:spacing w:before="210" w:after="0"/>
        <w:ind w:left="120"/>
        <w:jc w:val="both"/>
      </w:pPr>
      <w:r>
        <w:rPr>
          <w:rFonts w:ascii="Times New Roman" w:hAnsi="Times New Roman"/>
          <w:b/>
          <w:i w:val="false"/>
          <w:color w:val="000000"/>
          <w:sz w:val="22"/>
        </w:rPr>
        <w:t>27—20.40</w:t>
      </w:r>
      <w:r>
        <w:rPr>
          <w:rFonts w:ascii="Times New Roman" w:hAnsi="Times New Roman"/>
          <w:b/>
          <w:i w:val="false"/>
          <w:color w:val="000000"/>
          <w:sz w:val="22"/>
        </w:rPr>
        <w:t xml:space="preserve">(161A) </w:t>
      </w:r>
      <w:r>
        <w:rPr>
          <w:rFonts w:ascii="Times New Roman" w:hAnsi="Times New Roman"/>
          <w:b/>
          <w:i w:val="false"/>
          <w:color w:val="000000"/>
          <w:sz w:val="22"/>
        </w:rPr>
        <w:t xml:space="preserve">Farm unit soil conservation plan. </w:t>
      </w:r>
      <w:r>
        <w:rPr>
          <w:rFonts w:ascii="Times New Roman" w:hAnsi="Times New Roman"/>
          <w:b w:val="false"/>
          <w:i w:val="false"/>
          <w:color w:val="000000"/>
          <w:sz w:val="22"/>
        </w:rPr>
        <w:t xml:space="preserve">The farm unit soil conservation plan as defined in rule </w:t>
      </w:r>
      <w:hyperlink r:id="rId13">
        <w:r>
          <w:rPr>
            <w:rStyle w:val="Hyperlink"/>
            <w:rFonts w:ascii="Times New Roman" w:hAnsi="Times New Roman"/>
            <w:b w:val="false"/>
            <w:i w:val="false"/>
            <w:color w:val="000000"/>
            <w:sz w:val="22"/>
          </w:rPr>
          <w:t>20.70</w:t>
        </w:r>
      </w:hyperlink>
      <w:r>
        <w:rPr>
          <w:rFonts w:ascii="Times New Roman" w:hAnsi="Times New Roman"/>
          <w:b w:val="false"/>
          <w:i w:val="false"/>
          <w:color w:val="000000"/>
          <w:sz w:val="22"/>
        </w:rPr>
        <w:t>(161A) will identify specific permanent and temporary soil and water conservation practices for achieving erosion control to meet soil loss limits established by the district. Where practicable, the plan shall also identify alternatives by which this objective may be obtained. The completed plan must be acceptable to and approved by the commissioners.</w:t>
      </w:r>
    </w:p>
    <w:p>
      <w:pPr>
        <w:spacing w:before="210" w:after="0"/>
        <w:ind w:left="120"/>
        <w:jc w:val="both"/>
      </w:pPr>
      <w:r>
        <w:rPr>
          <w:rFonts w:ascii="Times New Roman" w:hAnsi="Times New Roman"/>
          <w:b/>
          <w:i w:val="false"/>
          <w:color w:val="000000"/>
          <w:sz w:val="22"/>
        </w:rPr>
        <w:t>27—20.41</w:t>
      </w:r>
      <w:r>
        <w:rPr>
          <w:rFonts w:ascii="Times New Roman" w:hAnsi="Times New Roman"/>
          <w:b w:val="false"/>
          <w:i w:val="false"/>
          <w:color w:val="000000"/>
          <w:sz w:val="22"/>
        </w:rPr>
        <w:t xml:space="preserve"> to </w:t>
      </w:r>
      <w:r>
        <w:rPr>
          <w:rFonts w:ascii="Times New Roman" w:hAnsi="Times New Roman"/>
          <w:b/>
          <w:i w:val="false"/>
          <w:color w:val="000000"/>
          <w:sz w:val="22"/>
        </w:rPr>
        <w:t>20.49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5</w:t>
      </w:r>
    </w:p>
    <w:p>
      <w:pPr>
        <w:spacing w:before="0" w:after="0"/>
        <w:ind w:left="120"/>
        <w:jc w:val="both"/>
      </w:pPr>
      <w:r>
        <w:rPr>
          <w:rFonts w:ascii="Times New Roman" w:hAnsi="Times New Roman"/>
          <w:b/>
          <w:i w:val="false"/>
          <w:color w:val="000000"/>
          <w:sz w:val="22"/>
        </w:rPr>
        <w:t>27—20.50</w:t>
      </w:r>
      <w:r>
        <w:rPr>
          <w:rFonts w:ascii="Times New Roman" w:hAnsi="Times New Roman"/>
          <w:b/>
          <w:i w:val="false"/>
          <w:color w:val="000000"/>
          <w:sz w:val="22"/>
        </w:rPr>
        <w:t xml:space="preserve">(161A) </w:t>
      </w:r>
      <w:r>
        <w:rPr>
          <w:rFonts w:ascii="Times New Roman" w:hAnsi="Times New Roman"/>
          <w:b/>
          <w:i w:val="false"/>
          <w:color w:val="000000"/>
          <w:sz w:val="22"/>
        </w:rPr>
        <w:t xml:space="preserve">Conservation agreement. </w:t>
      </w:r>
      <w:r>
        <w:rPr>
          <w:rFonts w:ascii="Times New Roman" w:hAnsi="Times New Roman"/>
          <w:b w:val="false"/>
          <w:i w:val="false"/>
          <w:color w:val="000000"/>
          <w:sz w:val="22"/>
        </w:rPr>
        <w:t xml:space="preserve">This part establishes procedures for entering conservation agreement as defined in rule </w:t>
      </w:r>
      <w:hyperlink r:id="rId14">
        <w:r>
          <w:rPr>
            <w:rStyle w:val="Hyperlink"/>
            <w:rFonts w:ascii="Times New Roman" w:hAnsi="Times New Roman"/>
            <w:b w:val="false"/>
            <w:i w:val="false"/>
            <w:color w:val="000000"/>
            <w:sz w:val="22"/>
          </w:rPr>
          <w:t>27—20.70</w:t>
        </w:r>
      </w:hyperlink>
      <w:r>
        <w:rPr>
          <w:rFonts w:ascii="Times New Roman" w:hAnsi="Times New Roman"/>
          <w:b w:val="false"/>
          <w:i w:val="false"/>
          <w:color w:val="000000"/>
          <w:sz w:val="22"/>
        </w:rPr>
        <w:t>(161A) between district commissioners and landowners and operators.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15">
        <w:r>
          <w:rPr>
            <w:rStyle w:val="Hyperlink"/>
            <w:rFonts w:ascii="Times New Roman" w:hAnsi="Times New Roman"/>
            <w:b w:val="false"/>
            <w:i w:val="false"/>
            <w:color w:val="000000"/>
            <w:sz w:val="22"/>
          </w:rPr>
          <w:t>161A.62</w:t>
        </w:r>
      </w:hyperlink>
      <w:r>
        <w:rPr>
          <w:rFonts w:ascii="Times New Roman" w:hAnsi="Times New Roman"/>
          <w:b w:val="false"/>
          <w:i w:val="false"/>
          <w:color w:val="000000"/>
          <w:sz w:val="22"/>
        </w:rPr>
        <w:t>, for any farm unit that has received a conservation folder after January 1, 1986, or one year after the completion of the farm unit plan, whichever is later, state cost-sharing funds through the voluntary program will be available only when a conservation agreement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w:t>
      </w:r>
      <w:r>
        <w:rPr>
          <w:rFonts w:ascii="Times New Roman" w:hAnsi="Times New Roman"/>
          <w:b w:val="false"/>
          <w:i w:val="false"/>
          <w:color w:val="000000"/>
          <w:sz w:val="22"/>
        </w:rPr>
        <w:t> </w:t>
      </w:r>
      <w:r>
        <w:rPr>
          <w:rFonts w:ascii="Times New Roman" w:hAnsi="Times New Roman"/>
          <w:b w:val="false"/>
          <w:i w:val="false"/>
          <w:color w:val="000000"/>
          <w:sz w:val="22"/>
        </w:rPr>
        <w:t>Eligibility. A landowner and, if appropriate, the operator of a farm unit, may enter into a conservation agreement with the commissioners after a farm unit soil conservation plan has been approved by the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w:t>
      </w:r>
      <w:r>
        <w:rPr>
          <w:rFonts w:ascii="Times New Roman" w:hAnsi="Times New Roman"/>
          <w:b w:val="false"/>
          <w:i w:val="false"/>
          <w:color w:val="000000"/>
          <w:sz w:val="22"/>
        </w:rPr>
        <w:t> </w:t>
      </w:r>
      <w:r>
        <w:rPr>
          <w:rFonts w:ascii="Times New Roman" w:hAnsi="Times New Roman"/>
          <w:b w:val="false"/>
          <w:i w:val="false"/>
          <w:color w:val="000000"/>
          <w:sz w:val="22"/>
        </w:rPr>
        <w:t>Initiation of conservation agreement. Within 60 days after the commissioners approve a farm unit soil conservation plan, the district shall offer to enter into a conservation agreement with the landowner.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20.50(4)</w:t>
      </w:r>
      <w:r>
        <w:rPr>
          <w:rFonts w:ascii="Times New Roman" w:hAnsi="Times New Roman"/>
          <w:b w:val="false"/>
          <w:i w:val="false"/>
          <w:color w:val="000000"/>
          <w:sz w:val="22"/>
        </w:rPr>
        <w:t> </w:t>
      </w:r>
      <w:r>
        <w:rPr>
          <w:rFonts w:ascii="Times New Roman" w:hAnsi="Times New Roman"/>
          <w:b w:val="false"/>
          <w:i w:val="false"/>
          <w:color w:val="000000"/>
          <w:sz w:val="22"/>
        </w:rPr>
        <w:t>Conservation agreement form. The schedule for implementing the farm unit soil conservation plan will be recorded on form SCD-6. To complete the conservation agreement, form SCD-6 will be signed by the landowner and the chairman of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20.50(5)</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 of conservation agreement. The implementation period of the initial agreement shall not exceed five years, unless amended as defined in </w:t>
      </w:r>
      <w:hyperlink r:id="rId16">
        <w:r>
          <w:rPr>
            <w:rStyle w:val="Hyperlink"/>
            <w:rFonts w:ascii="Times New Roman" w:hAnsi="Times New Roman"/>
            <w:b w:val="false"/>
            <w:i w:val="false"/>
            <w:color w:val="000000"/>
            <w:sz w:val="22"/>
          </w:rPr>
          <w:t>20.50(7)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20.50(6)</w:t>
      </w:r>
      <w:r>
        <w:rPr>
          <w:rFonts w:ascii="Times New Roman" w:hAnsi="Times New Roman"/>
          <w:b w:val="false"/>
          <w:i w:val="false"/>
          <w:color w:val="000000"/>
          <w:sz w:val="22"/>
        </w:rPr>
        <w:t> </w:t>
      </w:r>
      <w:r>
        <w:rPr>
          <w:rFonts w:ascii="Times New Roman" w:hAnsi="Times New Roman"/>
          <w:b w:val="false"/>
          <w:i w:val="false"/>
          <w:color w:val="000000"/>
          <w:sz w:val="22"/>
        </w:rPr>
        <w:t>Performance of conservation agreement. To continue to qualify for state cost-share funds, the landowner shall implement the agreed-upon soil conservation practices according to the schedule contained in the conservation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20.50(7)</w:t>
      </w:r>
      <w:r>
        <w:rPr>
          <w:rFonts w:ascii="Times New Roman" w:hAnsi="Times New Roman"/>
          <w:b w:val="false"/>
          <w:i w:val="false"/>
          <w:color w:val="000000"/>
          <w:sz w:val="22"/>
        </w:rPr>
        <w:t> </w:t>
      </w:r>
      <w:r>
        <w:rPr>
          <w:rFonts w:ascii="Times New Roman" w:hAnsi="Times New Roman"/>
          <w:b w:val="false"/>
          <w:i w:val="false"/>
          <w:color w:val="000000"/>
          <w:sz w:val="22"/>
        </w:rPr>
        <w:t>Amending or extending the conservation agreement. Conservation agreements may be amended or extended provided the revisions are mutually acceptable to the landowner and the commissioners, for reasons not limited to but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Lack of public cost-share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Loss or gain of land under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Uncontrollable circumstances (flood, drought, hail).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Economic constraints on the landowner.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20.50(8)</w:t>
      </w:r>
      <w:r>
        <w:rPr>
          <w:rFonts w:ascii="Times New Roman" w:hAnsi="Times New Roman"/>
          <w:b w:val="false"/>
          <w:i w:val="false"/>
          <w:color w:val="000000"/>
          <w:sz w:val="22"/>
        </w:rPr>
        <w:t> </w:t>
      </w:r>
      <w:r>
        <w:rPr>
          <w:rFonts w:ascii="Times New Roman" w:hAnsi="Times New Roman"/>
          <w:b w:val="false"/>
          <w:i w:val="false"/>
          <w:color w:val="000000"/>
          <w:sz w:val="22"/>
        </w:rPr>
        <w:t>Terminating conservation agreements. Conservation agreements can be terminated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Conservation agreements shall be terminated when the land changes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Conservation agreements may be terminated at any time upon request of the landowner, with the understanding that the landowner forfeits the future right to receive state cost-share funds for soil conservation practices on that farm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Conservation agreements may be terminated by the commissioners in the event that the landowner fails to implement the agreed-upon soil conservation practices according to the schedule contained in the conservation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20.50(9)</w:t>
      </w:r>
      <w:r>
        <w:rPr>
          <w:rFonts w:ascii="Times New Roman" w:hAnsi="Times New Roman"/>
          <w:b w:val="false"/>
          <w:i w:val="false"/>
          <w:color w:val="000000"/>
          <w:sz w:val="22"/>
        </w:rPr>
        <w:t> </w:t>
      </w:r>
      <w:r>
        <w:rPr>
          <w:rFonts w:ascii="Times New Roman" w:hAnsi="Times New Roman"/>
          <w:b w:val="false"/>
          <w:i w:val="false"/>
          <w:color w:val="000000"/>
          <w:sz w:val="22"/>
        </w:rPr>
        <w:t>Distribution of conservation agreement records. Copies of the soil conservation agreement and any revisions or terminations thereto shall be provided to the landowner, the division of soil conservation and water quality and the district case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27—20.51</w:t>
      </w:r>
      <w:r>
        <w:rPr>
          <w:rFonts w:ascii="Times New Roman" w:hAnsi="Times New Roman"/>
          <w:b w:val="false"/>
          <w:i w:val="false"/>
          <w:color w:val="000000"/>
          <w:sz w:val="22"/>
        </w:rPr>
        <w:t xml:space="preserve"> to </w:t>
      </w:r>
      <w:r>
        <w:rPr>
          <w:rFonts w:ascii="Times New Roman" w:hAnsi="Times New Roman"/>
          <w:b/>
          <w:i w:val="false"/>
          <w:color w:val="000000"/>
          <w:sz w:val="22"/>
        </w:rPr>
        <w:t>20.59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6</w:t>
      </w:r>
    </w:p>
    <w:p>
      <w:pPr>
        <w:spacing w:before="210" w:after="0"/>
        <w:ind w:left="120"/>
        <w:jc w:val="both"/>
      </w:pPr>
      <w:r>
        <w:rPr>
          <w:rFonts w:ascii="Times New Roman" w:hAnsi="Times New Roman"/>
          <w:b/>
          <w:i w:val="false"/>
          <w:color w:val="000000"/>
          <w:sz w:val="22"/>
        </w:rPr>
        <w:t>27—20.60</w:t>
      </w:r>
      <w:r>
        <w:rPr>
          <w:rFonts w:ascii="Times New Roman" w:hAnsi="Times New Roman"/>
          <w:b/>
          <w:i w:val="false"/>
          <w:color w:val="000000"/>
          <w:sz w:val="22"/>
        </w:rPr>
        <w:t xml:space="preserve">(161A)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This part establishes rules concerning standards and records necessary to ensure orderly progress toward attaining the requirements of Iowa Code section </w:t>
      </w:r>
      <w:hyperlink r:id="rId17">
        <w:r>
          <w:rPr>
            <w:rStyle w:val="Hyperlink"/>
            <w:rFonts w:ascii="Times New Roman" w:hAnsi="Times New Roman"/>
            <w:b w:val="false"/>
            <w:i w:val="false"/>
            <w:color w:val="000000"/>
            <w:sz w:val="22"/>
          </w:rPr>
          <w:t>161A.62</w:t>
        </w:r>
      </w:hyperlink>
      <w:r>
        <w:rPr>
          <w:rFonts w:ascii="Times New Roman" w:hAnsi="Times New Roman"/>
          <w:b w:val="false"/>
          <w:i w:val="false"/>
          <w:color w:val="000000"/>
          <w:sz w:val="22"/>
        </w:rPr>
        <w:t xml:space="preserve"> to furnish a conservation folder to owners of every farm unit in Iowa.</w:t>
      </w:r>
    </w:p>
    <w:p>
      <w:pPr>
        <w:spacing w:before="0" w:after="0"/>
        <w:ind w:left="120"/>
        <w:jc w:val="both"/>
      </w:pPr>
      <w:r>
        <w:rPr>
          <w:rFonts w:ascii="Times New Roman" w:hAnsi="Times New Roman"/>
          <w:b/>
          <w:i w:val="false"/>
          <w:color w:val="000000"/>
          <w:sz w:val="22"/>
        </w:rPr>
        <w:t>27—20.61</w:t>
      </w:r>
      <w:r>
        <w:rPr>
          <w:rFonts w:ascii="Times New Roman" w:hAnsi="Times New Roman"/>
          <w:b/>
          <w:i w:val="false"/>
          <w:color w:val="000000"/>
          <w:sz w:val="22"/>
        </w:rPr>
        <w:t xml:space="preserve">(161A) </w:t>
      </w:r>
      <w:r>
        <w:rPr>
          <w:rFonts w:ascii="Times New Roman" w:hAnsi="Times New Roman"/>
          <w:b/>
          <w:i w:val="false"/>
          <w:color w:val="000000"/>
          <w:sz w:val="22"/>
        </w:rPr>
        <w:t xml:space="preserve">Record of distribution—district file. </w:t>
      </w:r>
    </w:p>
    <w:p>
      <w:pPr>
        <w:spacing w:before="0" w:after="0"/>
        <w:ind w:left="120"/>
        <w:jc w:val="both"/>
      </w:pPr>
      <w:r>
        <w:rPr>
          <w:rFonts w:ascii="Times New Roman" w:hAnsi="Times New Roman"/>
          <w:b w:val="false"/>
          <w:i w:val="false"/>
          <w:color w:val="000000"/>
          <w:sz w:val="22"/>
        </w:rPr>
        <w:t>The district will maintain a file system, indexed according to township, range and section to adequately describe each farm unit, that contains a record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 the conservation folder was certified complete.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a letter of notification was sent to the landowner.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landowner’s name and address.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operator’s name and address.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date the conservation folder was delivered and:</w:t>
      </w:r>
    </w:p>
    <w:p>
      <w:pPr>
        <w:spacing w:before="0" w:after="0"/>
        <w:ind w:left="120"/>
        <w:jc w:val="both"/>
      </w:pPr>
      <w:r>
        <w:rPr>
          <w:rFonts w:ascii="Times New Roman" w:hAnsi="Times New Roman"/>
          <w:b w:val="false"/>
          <w:i w:val="false"/>
          <w:color w:val="000000"/>
          <w:sz w:val="22"/>
        </w:rPr>
        <w:t>By whom,</w:t>
      </w:r>
    </w:p>
    <w:p>
      <w:pPr>
        <w:spacing w:before="0" w:after="0"/>
        <w:ind w:left="120"/>
        <w:jc w:val="both"/>
      </w:pPr>
      <w:r>
        <w:rPr>
          <w:rFonts w:ascii="Times New Roman" w:hAnsi="Times New Roman"/>
          <w:b w:val="false"/>
          <w:i w:val="false"/>
          <w:color w:val="000000"/>
          <w:sz w:val="22"/>
        </w:rPr>
        <w:t>To whom,</w:t>
      </w:r>
    </w:p>
    <w:p>
      <w:pPr>
        <w:spacing w:before="0" w:after="0"/>
        <w:ind w:left="120"/>
        <w:jc w:val="both"/>
      </w:pPr>
      <w:r>
        <w:rPr>
          <w:rFonts w:ascii="Times New Roman" w:hAnsi="Times New Roman"/>
          <w:b w:val="false"/>
          <w:i w:val="false"/>
          <w:color w:val="000000"/>
          <w:sz w:val="22"/>
        </w:rPr>
        <w:t>Method of delivery.</w:t>
      </w:r>
    </w:p>
    <w:p>
      <w:pPr>
        <w:spacing w:before="210" w:after="0"/>
        <w:ind w:left="120"/>
        <w:jc w:val="both"/>
      </w:pPr>
      <w:r>
        <w:rPr>
          <w:rFonts w:ascii="Times New Roman" w:hAnsi="Times New Roman"/>
          <w:b/>
          <w:i w:val="false"/>
          <w:color w:val="000000"/>
          <w:sz w:val="22"/>
        </w:rPr>
        <w:t>27—20.62</w:t>
      </w:r>
      <w:r>
        <w:rPr>
          <w:rFonts w:ascii="Times New Roman" w:hAnsi="Times New Roman"/>
          <w:b/>
          <w:i w:val="false"/>
          <w:color w:val="000000"/>
          <w:sz w:val="22"/>
        </w:rPr>
        <w:t xml:space="preserve">(161A) </w:t>
      </w:r>
      <w:r>
        <w:rPr>
          <w:rFonts w:ascii="Times New Roman" w:hAnsi="Times New Roman"/>
          <w:b/>
          <w:i w:val="false"/>
          <w:color w:val="000000"/>
          <w:sz w:val="22"/>
        </w:rPr>
        <w:t xml:space="preserve">Conservation folder file copy. </w:t>
      </w:r>
      <w:r>
        <w:rPr>
          <w:rFonts w:ascii="Times New Roman" w:hAnsi="Times New Roman"/>
          <w:b w:val="false"/>
          <w:i w:val="false"/>
          <w:color w:val="000000"/>
          <w:sz w:val="22"/>
        </w:rPr>
        <w:t>The district will maintain a record of information furnished to each farm unit. The file will also contain all correspondence related to notification, delivery and updating of the conservation folder.</w:t>
      </w:r>
    </w:p>
    <w:p>
      <w:pPr>
        <w:spacing w:before="0" w:after="0"/>
        <w:ind w:left="120"/>
        <w:jc w:val="both"/>
      </w:pPr>
      <w:r>
        <w:rPr>
          <w:rFonts w:ascii="Times New Roman" w:hAnsi="Times New Roman"/>
          <w:b/>
          <w:i w:val="false"/>
          <w:color w:val="000000"/>
          <w:sz w:val="22"/>
        </w:rPr>
        <w:t>27—20.63</w:t>
      </w:r>
      <w:r>
        <w:rPr>
          <w:rFonts w:ascii="Times New Roman" w:hAnsi="Times New Roman"/>
          <w:b/>
          <w:i w:val="false"/>
          <w:color w:val="000000"/>
          <w:sz w:val="22"/>
        </w:rPr>
        <w:t xml:space="preserve">(161A) </w:t>
      </w:r>
      <w:r>
        <w:rPr>
          <w:rFonts w:ascii="Times New Roman" w:hAnsi="Times New Roman"/>
          <w:b/>
          <w:i w:val="false"/>
          <w:color w:val="000000"/>
          <w:sz w:val="22"/>
        </w:rPr>
        <w:t xml:space="preserve">Program performance records. </w:t>
      </w:r>
      <w:r>
        <w:rPr>
          <w:rFonts w:ascii="Times New Roman" w:hAnsi="Times New Roman"/>
          <w:b w:val="false"/>
          <w:i w:val="false"/>
          <w:color w:val="000000"/>
          <w:sz w:val="22"/>
        </w:rPr>
        <w:t>The district will use existing record systems to provide a data base from which progress can be identified by the division in the following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Implementing treatment of fragile soils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Reducing nonpoint source pollution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Reducing excessive soil erosion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Attaining a nondepleting level of erosion on all agricultural lands.</w:t>
      </w:r>
    </w:p>
    <w:p>
      <w:pPr>
        <w:spacing w:before="210" w:after="0"/>
        <w:ind w:left="120"/>
        <w:jc w:val="both"/>
      </w:pPr>
      <w:r>
        <w:rPr>
          <w:rFonts w:ascii="Times New Roman" w:hAnsi="Times New Roman"/>
          <w:b/>
          <w:i w:val="false"/>
          <w:color w:val="000000"/>
          <w:sz w:val="22"/>
        </w:rPr>
        <w:t>27—20.64</w:t>
      </w:r>
      <w:r>
        <w:rPr>
          <w:rFonts w:ascii="Times New Roman" w:hAnsi="Times New Roman"/>
          <w:b w:val="false"/>
          <w:i w:val="false"/>
          <w:color w:val="000000"/>
          <w:sz w:val="22"/>
        </w:rPr>
        <w:t xml:space="preserve"> to </w:t>
      </w:r>
      <w:r>
        <w:rPr>
          <w:rFonts w:ascii="Times New Roman" w:hAnsi="Times New Roman"/>
          <w:b/>
          <w:i w:val="false"/>
          <w:color w:val="000000"/>
          <w:sz w:val="22"/>
        </w:rPr>
        <w:t>20.69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7</w:t>
      </w:r>
    </w:p>
    <w:p>
      <w:pPr>
        <w:spacing w:before="0" w:after="0"/>
        <w:ind w:left="120"/>
        <w:jc w:val="both"/>
      </w:pPr>
      <w:r>
        <w:rPr>
          <w:rFonts w:ascii="Times New Roman" w:hAnsi="Times New Roman"/>
          <w:b/>
          <w:i w:val="false"/>
          <w:color w:val="000000"/>
          <w:sz w:val="22"/>
        </w:rPr>
        <w:t>27—20.70</w:t>
      </w:r>
      <w:r>
        <w:rPr>
          <w:rFonts w:ascii="Times New Roman" w:hAnsi="Times New Roman"/>
          <w:b/>
          <w:i w:val="false"/>
          <w:color w:val="000000"/>
          <w:sz w:val="22"/>
        </w:rPr>
        <w:t xml:space="preserve">(161A) </w:t>
      </w:r>
      <w:r>
        <w:rPr>
          <w:rFonts w:ascii="Times New Roman" w:hAnsi="Times New Roman"/>
          <w:b/>
          <w:i w:val="false"/>
          <w:color w:val="000000"/>
          <w:sz w:val="22"/>
        </w:rPr>
        <w:t xml:space="preserve">Definition of terms. </w:t>
      </w:r>
      <w:r>
        <w:rPr>
          <w:rFonts w:ascii="Times New Roman" w:hAnsi="Times New Roman"/>
          <w:b w:val="false"/>
          <w:i w:val="false"/>
          <w:color w:val="000000"/>
          <w:sz w:val="22"/>
        </w:rPr>
        <w:t xml:space="preserve">In addition to the definitions in rule </w:t>
      </w:r>
      <w:hyperlink r:id="rId18">
        <w:r>
          <w:rPr>
            <w:rStyle w:val="Hyperlink"/>
            <w:rFonts w:ascii="Times New Roman" w:hAnsi="Times New Roman"/>
            <w:b w:val="false"/>
            <w:i w:val="false"/>
            <w:color w:val="000000"/>
            <w:sz w:val="22"/>
          </w:rPr>
          <w:t>27—10.20</w:t>
        </w:r>
      </w:hyperlink>
      <w:r>
        <w:rPr>
          <w:rFonts w:ascii="Times New Roman" w:hAnsi="Times New Roman"/>
          <w:b w:val="false"/>
          <w:i w:val="false"/>
          <w:color w:val="000000"/>
          <w:sz w:val="22"/>
        </w:rPr>
        <w:t>(161A), the following terms are defined: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“Adjacent tracts” </w:t>
      </w:r>
      <w:r>
        <w:rPr>
          <w:rFonts w:ascii="Times New Roman" w:hAnsi="Times New Roman"/>
          <w:b w:val="false"/>
          <w:i w:val="false"/>
          <w:color w:val="000000"/>
          <w:sz w:val="22"/>
        </w:rPr>
        <w:t>means two or more tracts of land in the same legal section of land or in touching legal sections lying such that the two tracts have a common side or common corner.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“Conservation agreement” </w:t>
      </w:r>
      <w:r>
        <w:rPr>
          <w:rFonts w:ascii="Times New Roman" w:hAnsi="Times New Roman"/>
          <w:b w:val="false"/>
          <w:i w:val="false"/>
          <w:color w:val="000000"/>
          <w:sz w:val="22"/>
        </w:rPr>
        <w:t xml:space="preserve">is defined in Iowa Code section </w:t>
      </w:r>
      <w:hyperlink r:id="rId19">
        <w:r>
          <w:rPr>
            <w:rStyle w:val="Hyperlink"/>
            <w:rFonts w:ascii="Times New Roman" w:hAnsi="Times New Roman"/>
            <w:b w:val="false"/>
            <w:i w:val="false"/>
            <w:color w:val="000000"/>
            <w:sz w:val="22"/>
          </w:rPr>
          <w:t>161A.42</w:t>
        </w:r>
      </w:hyperlink>
      <w:r>
        <w:rPr>
          <w:rFonts w:ascii="Times New Roman" w:hAnsi="Times New Roman"/>
          <w:b w:val="false"/>
          <w:i w:val="false"/>
          <w:color w:val="000000"/>
          <w:sz w:val="22"/>
        </w:rPr>
        <w:t xml:space="preserve"> to mean a commitment by the owner or operator of a farm unit to implement a farm unit soil conservation plan or, with the approval of the commissioners of the district within which the farm unit is located, a portion of a farm unit soil conservation plan. The commitment shall be conditioned on the furnishing by the district of such technical or planning assistance in the establishment of, and cost-sharing or other financial assistance for establishment and maintenance of the soil and water conservation practices necessary to implement the plan, or a portion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“Conservation folder” </w:t>
      </w:r>
      <w:r>
        <w:rPr>
          <w:rFonts w:ascii="Times New Roman" w:hAnsi="Times New Roman"/>
          <w:b w:val="false"/>
          <w:i w:val="false"/>
          <w:color w:val="000000"/>
          <w:sz w:val="22"/>
        </w:rPr>
        <w:t xml:space="preserve">is defined in Iowa Code section </w:t>
      </w:r>
      <w:hyperlink r:id="rId20">
        <w:r>
          <w:rPr>
            <w:rStyle w:val="Hyperlink"/>
            <w:rFonts w:ascii="Times New Roman" w:hAnsi="Times New Roman"/>
            <w:b w:val="false"/>
            <w:i w:val="false"/>
            <w:color w:val="000000"/>
            <w:sz w:val="22"/>
          </w:rPr>
          <w:t>161A.42</w:t>
        </w:r>
      </w:hyperlink>
      <w:r>
        <w:rPr>
          <w:rFonts w:ascii="Times New Roman" w:hAnsi="Times New Roman"/>
          <w:b w:val="false"/>
          <w:i w:val="false"/>
          <w:color w:val="000000"/>
          <w:sz w:val="22"/>
        </w:rPr>
        <w:t xml:space="preserve"> to mean compiled information concerning the topography, soil composition, natural or artificial drainage characteristics and other pertinent factors concerning a particular farm unit, which are necessary to the preparation of a sound and equitable conservation agreement for that farm unit. The specific items to be contained in a conservation folder shall be prescribed by administrative rules of the division of soil conservation and water quality. The division shall provide by rule that an updated farm plan prepared for a particular farm unit within 10 years prior to the effective date of this subsection shall be considered an adequate replacement for the conservation folder for that farm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“Contiguous” </w:t>
      </w:r>
      <w:r>
        <w:rPr>
          <w:rFonts w:ascii="Times New Roman" w:hAnsi="Times New Roman"/>
          <w:b w:val="false"/>
          <w:i w:val="false"/>
          <w:color w:val="000000"/>
          <w:sz w:val="22"/>
        </w:rPr>
        <w:t>means two or more tracts of land lying in the same legal section that have separate legal descriptions, but which have at least a partially common boundary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staff” </w:t>
      </w:r>
      <w:r>
        <w:rPr>
          <w:rFonts w:ascii="Times New Roman" w:hAnsi="Times New Roman"/>
          <w:b w:val="false"/>
          <w:i w:val="false"/>
          <w:color w:val="000000"/>
          <w:sz w:val="22"/>
        </w:rPr>
        <w:t>means all individuals assigned to, assisting, or employed by a soil and water conservation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 plan” </w:t>
      </w:r>
      <w:r>
        <w:rPr>
          <w:rFonts w:ascii="Times New Roman" w:hAnsi="Times New Roman"/>
          <w:b w:val="false"/>
          <w:i w:val="false"/>
          <w:color w:val="000000"/>
          <w:sz w:val="22"/>
        </w:rPr>
        <w:t>as used in these rules refers to any conservation plan or other plan developed in cooperation with the landowner, which provides compiled information concerning the topography, soil composition, natural and artificial drainage characteristics, permanent soil and water conservation practices, and other pertinent factors for the farm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 unit” </w:t>
      </w:r>
      <w:r>
        <w:rPr>
          <w:rFonts w:ascii="Times New Roman" w:hAnsi="Times New Roman"/>
          <w:b w:val="false"/>
          <w:i w:val="false"/>
          <w:color w:val="000000"/>
          <w:sz w:val="22"/>
        </w:rPr>
        <w:t xml:space="preserve">is defined in Iowa Code section </w:t>
      </w:r>
      <w:hyperlink r:id="rId21">
        <w:r>
          <w:rPr>
            <w:rStyle w:val="Hyperlink"/>
            <w:rFonts w:ascii="Times New Roman" w:hAnsi="Times New Roman"/>
            <w:b w:val="false"/>
            <w:i w:val="false"/>
            <w:color w:val="000000"/>
            <w:sz w:val="22"/>
          </w:rPr>
          <w:t>161A.42</w:t>
        </w:r>
      </w:hyperlink>
      <w:r>
        <w:rPr>
          <w:rFonts w:ascii="Times New Roman" w:hAnsi="Times New Roman"/>
          <w:b w:val="false"/>
          <w:i w:val="false"/>
          <w:color w:val="000000"/>
          <w:sz w:val="22"/>
        </w:rPr>
        <w:t xml:space="preserve"> to mean a single contiguous tract of agricultural land, or two or more adjacent tracts of agricultural land, located within a single district, upon which farming operations are being conducted by a person who owns or is purchasing or renting all of such land, or by a tenant or tenants. If a landowner has multiple farm tenants, the land on which farming operations are being conducted by each tenant shall constitute a separate farm unit. This definition does not prohibit land which is within a single district and is owned or being purchased by the same person, or is being rented by the same tenant, from being treated as two or more farm units if the commissioners of the district deem it preferable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 unit soil conservation plan” </w:t>
      </w:r>
      <w:r>
        <w:rPr>
          <w:rFonts w:ascii="Times New Roman" w:hAnsi="Times New Roman"/>
          <w:b w:val="false"/>
          <w:i w:val="false"/>
          <w:color w:val="000000"/>
          <w:sz w:val="22"/>
        </w:rPr>
        <w:t xml:space="preserve">is defined in Iowa Code section </w:t>
      </w:r>
      <w:hyperlink r:id="rId22">
        <w:r>
          <w:rPr>
            <w:rStyle w:val="Hyperlink"/>
            <w:rFonts w:ascii="Times New Roman" w:hAnsi="Times New Roman"/>
            <w:b w:val="false"/>
            <w:i w:val="false"/>
            <w:color w:val="000000"/>
            <w:sz w:val="22"/>
          </w:rPr>
          <w:t>161A.42</w:t>
        </w:r>
      </w:hyperlink>
      <w:r>
        <w:rPr>
          <w:rFonts w:ascii="Times New Roman" w:hAnsi="Times New Roman"/>
          <w:b w:val="false"/>
          <w:i w:val="false"/>
          <w:color w:val="000000"/>
          <w:sz w:val="22"/>
        </w:rPr>
        <w:t xml:space="preserve"> to mean a plan jointly developed by the owner and, if appropriate, the operator of a farm unit and the commissioners of the district within which that farm unit is located, based on the conservation folder for that farm unit and identifying those permanent soil and water conservation practices and temporary soil and water conservation practices the use of which may be expected to prevent soil loss by erosion from that farm unit in excess of the applicable soil loss limit or limits. The plan shall, if practicable, identify alternative practices by which this objective may be attained.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3">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5/10/82, Notice 2/17/82—published 5/26/82, effective 6/30/82]</w:t>
      </w:r>
    </w:p>
    <w:p>
      <w:pPr>
        <w:spacing w:before="0" w:after="0"/>
        <w:ind w:left="120"/>
        <w:jc w:val="center"/>
      </w:pPr>
      <w:r>
        <w:rPr>
          <w:rFonts w:ascii="Times New Roman" w:hAnsi="Times New Roman"/>
          <w:b w:val="false"/>
          <w:i w:val="false"/>
          <w:color w:val="000000"/>
          <w:sz w:val="21"/>
        </w:rPr>
        <w:t>[Filed 10/8/82, Notice 9/1/82—published 10/27/82, effective 12/1/82]</w:t>
      </w:r>
    </w:p>
    <w:p>
      <w:pPr>
        <w:spacing w:before="0" w:after="0"/>
        <w:ind w:left="120"/>
        <w:jc w:val="center"/>
      </w:pPr>
      <w:r>
        <w:rPr>
          <w:rFonts w:ascii="Times New Roman" w:hAnsi="Times New Roman"/>
          <w:b w:val="false"/>
          <w:i w:val="false"/>
          <w:color w:val="000000"/>
          <w:sz w:val="21"/>
        </w:rPr>
        <w:t>[Filed without Notice 4/5/85—published 4/24/85, effective 5/29/85]</w:t>
      </w:r>
    </w:p>
    <w:p>
      <w:pPr>
        <w:spacing w:before="0" w:after="0"/>
        <w:ind w:left="120"/>
        <w:jc w:val="center"/>
      </w:pPr>
      <w:r>
        <w:rPr>
          <w:rFonts w:ascii="Times New Roman" w:hAnsi="Times New Roman"/>
          <w:b w:val="false"/>
          <w:i w:val="false"/>
          <w:color w:val="000000"/>
          <w:sz w:val="21"/>
        </w:rPr>
        <w:t>[Filed 12/7/88, Notice 9/7/88—published 12/28/88, effective 2/1/89]</w:t>
      </w:r>
    </w:p>
    <w:p>
      <w:pPr>
        <w:spacing w:before="0" w:after="0"/>
        <w:ind w:left="120"/>
        <w:jc w:val="center"/>
      </w:pPr>
      <w:r>
        <w:rPr>
          <w:rFonts w:ascii="Times New Roman" w:hAnsi="Times New Roman"/>
          <w:b w:val="false"/>
          <w:i w:val="false"/>
          <w:color w:val="000000"/>
          <w:sz w:val="21"/>
        </w:rPr>
        <w:t>[Filed ARC 2192C</w:t>
      </w:r>
      <w:r>
        <w:rPr>
          <w:rFonts w:ascii="Times New Roman" w:hAnsi="Times New Roman"/>
          <w:b w:val="false"/>
          <w:i w:val="false"/>
          <w:color w:val="000000"/>
          <w:sz w:val="21"/>
        </w:rPr>
        <w:t xml:space="preserve"> (Notice ARC 2102C, IAB 8/19/15)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3243C</w:t>
      </w:r>
      <w:r>
        <w:rPr>
          <w:rFonts w:ascii="Times New Roman" w:hAnsi="Times New Roman"/>
          <w:b w:val="false"/>
          <w:i w:val="false"/>
          <w:color w:val="000000"/>
          <w:sz w:val="21"/>
        </w:rPr>
        <w:t xml:space="preserve"> (Notice ARC 3086C, IAB 6/7/17)</w:t>
      </w:r>
      <w:r>
        <w:rPr>
          <w:rFonts w:ascii="Times New Roman" w:hAnsi="Times New Roman"/>
          <w:b w:val="false"/>
          <w:i w:val="false"/>
          <w:color w:val="000000"/>
          <w:sz w:val="21"/>
        </w:rPr>
        <w:t>, IAB 8/2/17, effective 9/6/17]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A.62.pdf" Type="http://schemas.openxmlformats.org/officeDocument/2006/relationships/hyperlink" Id="rId5"/>
    <Relationship TargetMode="External" Target="https://www.legis.iowa.gov/docs/iac/rule/27.20.30.pdf" Type="http://schemas.openxmlformats.org/officeDocument/2006/relationships/hyperlink" Id="rId6"/>
    <Relationship TargetMode="External" Target="https://www.legis.iowa.gov/docs/ico/chapter/161A.62.pdf" Type="http://schemas.openxmlformats.org/officeDocument/2006/relationships/hyperlink" Id="rId7"/>
    <Relationship TargetMode="External" Target="https://www.legis.iowa.gov/docs/ico/chapter/161A.62.pdf" Type="http://schemas.openxmlformats.org/officeDocument/2006/relationships/hyperlink" Id="rId8"/>
    <Relationship TargetMode="External" Target="https://www.legis.iowa.gov/docs/iac/rule/27.20.60.pdf" Type="http://schemas.openxmlformats.org/officeDocument/2006/relationships/hyperlink" Id="rId9"/>
    <Relationship TargetMode="External" Target="https://www.legis.iowa.gov/docs/iac/rule/27.20.20.pdf" Type="http://schemas.openxmlformats.org/officeDocument/2006/relationships/hyperlink" Id="rId10"/>
    <Relationship TargetMode="External" Target="https://www.legis.iowa.gov/docs/iac/rule/27.20.60.pdf" Type="http://schemas.openxmlformats.org/officeDocument/2006/relationships/hyperlink" Id="rId11"/>
    <Relationship TargetMode="External" Target="https://www.legis.iowa.gov/docs/iac/rule/27.20.61.pdf" Type="http://schemas.openxmlformats.org/officeDocument/2006/relationships/hyperlink" Id="rId12"/>
    <Relationship TargetMode="External" Target="https://www.legis.iowa.gov/docs/iac/rule/27.20.70.pdf" Type="http://schemas.openxmlformats.org/officeDocument/2006/relationships/hyperlink" Id="rId13"/>
    <Relationship TargetMode="External" Target="https://www.legis.iowa.gov/docs/iac/rule/27.20.70.pdf" Type="http://schemas.openxmlformats.org/officeDocument/2006/relationships/hyperlink" Id="rId14"/>
    <Relationship TargetMode="External" Target="https://www.legis.iowa.gov/docs/ico/chapter/161A.62.pdf" Type="http://schemas.openxmlformats.org/officeDocument/2006/relationships/hyperlink" Id="rId15"/>
    <Relationship TargetMode="External" Target="https://www.legis.iowa.gov/docs/iac/rule/27.20.50.pdf" Type="http://schemas.openxmlformats.org/officeDocument/2006/relationships/hyperlink" Id="rId16"/>
    <Relationship TargetMode="External" Target="https://www.legis.iowa.gov/docs/ico/chapter/161A.62.pdf" Type="http://schemas.openxmlformats.org/officeDocument/2006/relationships/hyperlink" Id="rId17"/>
    <Relationship TargetMode="External" Target="https://www.legis.iowa.gov/docs/iac/rule/27.10.20.pdf" Type="http://schemas.openxmlformats.org/officeDocument/2006/relationships/hyperlink" Id="rId18"/>
    <Relationship TargetMode="External" Target="https://www.legis.iowa.gov/docs/ico/chapter/161A.42.pdf" Type="http://schemas.openxmlformats.org/officeDocument/2006/relationships/hyperlink" Id="rId19"/>
    <Relationship TargetMode="External" Target="https://www.legis.iowa.gov/docs/ico/chapter/161A.42.pdf" Type="http://schemas.openxmlformats.org/officeDocument/2006/relationships/hyperlink" Id="rId20"/>
    <Relationship TargetMode="External" Target="https://www.legis.iowa.gov/docs/ico/chapter/161A.42.pdf" Type="http://schemas.openxmlformats.org/officeDocument/2006/relationships/hyperlink" Id="rId21"/>
    <Relationship TargetMode="External" Target="https://www.legis.iowa.gov/docs/ico/chapter/161A.42.pdf" Type="http://schemas.openxmlformats.org/officeDocument/2006/relationships/hyperlink" Id="rId22"/>
    <Relationship TargetMode="External" Target="https://www.legis.iowa.gov/docs/ico/chapter/161A.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