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WATER QUALITY INITIATIVE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27—16.1</w:t>
      </w:r>
      <w:r>
        <w:rPr>
          <w:rFonts w:ascii="Times New Roman" w:hAnsi="Times New Roman"/>
          <w:b/>
          <w:i w:val="false"/>
          <w:color w:val="000000"/>
          <w:sz w:val="22"/>
        </w:rPr>
        <w:t xml:space="preserve">(161A)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support the reduction of nutrient losses and exports over time through the adoption of water quality practices and through the establishment and administration of targeted watershed demonstration projects and individual cost-share practices. The purpose is also to assist education and outreach about the feasibility and value of establishing water quality practices.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27—16.2</w:t>
      </w:r>
      <w:r>
        <w:rPr>
          <w:rFonts w:ascii="Times New Roman" w:hAnsi="Times New Roman"/>
          <w:b/>
          <w:i w:val="false"/>
          <w:color w:val="000000"/>
          <w:sz w:val="22"/>
        </w:rPr>
        <w:t xml:space="preserve">(161A)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 xml:space="preserve">means the water resources coordinating council established pursuant to Iowa Code section </w:t>
      </w:r>
      <w:hyperlink r:id="rId5">
        <w:r>
          <w:rPr>
            <w:rStyle w:val="Hyperlink"/>
            <w:rFonts w:ascii="Times New Roman" w:hAnsi="Times New Roman"/>
            <w:b w:val="false"/>
            <w:i w:val="false"/>
            <w:color w:val="000000"/>
            <w:sz w:val="22"/>
          </w:rPr>
          <w:t>466B.3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soil conservation and water quality,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targeted watershed demonstration project applicants” </w:t>
      </w:r>
      <w:r>
        <w:rPr>
          <w:rFonts w:ascii="Times New Roman" w:hAnsi="Times New Roman"/>
          <w:b w:val="false"/>
          <w:i w:val="false"/>
          <w:color w:val="000000"/>
          <w:sz w:val="22"/>
        </w:rPr>
        <w:t>means individual or multiple soil and water conservation districts, counties, county conservation boards, cities, not-for-profit organizations authorized by the secretary of state, public water supply utilities or watershed management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“Funds” </w:t>
      </w:r>
      <w:r>
        <w:rPr>
          <w:rFonts w:ascii="Times New Roman" w:hAnsi="Times New Roman"/>
          <w:b w:val="false"/>
          <w:i w:val="false"/>
          <w:color w:val="000000"/>
          <w:sz w:val="22"/>
        </w:rPr>
        <w:t xml:space="preserve">include the water quality initiative fund in Iowa Code section </w:t>
      </w:r>
      <w:hyperlink r:id="rId6">
        <w:r>
          <w:rPr>
            <w:rStyle w:val="Hyperlink"/>
            <w:rFonts w:ascii="Times New Roman" w:hAnsi="Times New Roman"/>
            <w:b w:val="false"/>
            <w:i w:val="false"/>
            <w:color w:val="000000"/>
            <w:sz w:val="22"/>
          </w:rPr>
          <w:t>466B.45</w:t>
        </w:r>
      </w:hyperlink>
      <w:r>
        <w:rPr>
          <w:rFonts w:ascii="Times New Roman" w:hAnsi="Times New Roman"/>
          <w:b w:val="false"/>
          <w:i w:val="false"/>
          <w:color w:val="000000"/>
          <w:sz w:val="22"/>
        </w:rPr>
        <w:t xml:space="preserve">, include the water quality infrastructure funds in </w:t>
      </w:r>
      <w:r>
        <w:rPr>
          <w:rFonts w:ascii="Times New Roman" w:hAnsi="Times New Roman"/>
          <w:b w:val="false"/>
          <w:i w:val="false"/>
          <w:color w:val="000000"/>
          <w:sz w:val="22"/>
        </w:rPr>
        <w:t>2018 Iowa Acts, Senate File 512, sections 23 and 24</w:t>
      </w:r>
      <w:r>
        <w:rPr>
          <w:rFonts w:ascii="Times New Roman" w:hAnsi="Times New Roman"/>
          <w:b w:val="false"/>
          <w:i w:val="false"/>
          <w:color w:val="000000"/>
          <w:sz w:val="22"/>
        </w:rPr>
        <w:t>, and may include other moneys appropriated to the department or other nongovernmental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“Identified watersheds” </w:t>
      </w:r>
      <w:r>
        <w:rPr>
          <w:rFonts w:ascii="Times New Roman" w:hAnsi="Times New Roman"/>
          <w:b w:val="false"/>
          <w:i w:val="false"/>
          <w:color w:val="000000"/>
          <w:sz w:val="22"/>
        </w:rPr>
        <w:t>means the area identified by the council or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“Maintenance/performance agreement” </w:t>
      </w:r>
      <w:r>
        <w:rPr>
          <w:rFonts w:ascii="Times New Roman" w:hAnsi="Times New Roman"/>
          <w:b w:val="false"/>
          <w:i w:val="false"/>
          <w:color w:val="000000"/>
          <w:sz w:val="22"/>
        </w:rPr>
        <w:t>means an agreement between the division, the recipient and the landowner. The recipient and landowner agree to maintain the soil conservation practices for which financial incentives from the division through the district have been received. The agreement states that the recipient and landowner will maintain, repair, or reconstruct the practices if they are not maintained according to the terms specified in the agreement. The terms of the agreement shall be specified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“Nutrient” </w:t>
      </w:r>
      <w:r>
        <w:rPr>
          <w:rFonts w:ascii="Times New Roman" w:hAnsi="Times New Roman"/>
          <w:b w:val="false"/>
          <w:i w:val="false"/>
          <w:color w:val="000000"/>
          <w:sz w:val="22"/>
        </w:rPr>
        <w:t>includes total nitrogen and total phosphorus.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“Nutrient reduction strategy” </w:t>
      </w:r>
      <w:r>
        <w:rPr>
          <w:rFonts w:ascii="Times New Roman" w:hAnsi="Times New Roman"/>
          <w:b w:val="false"/>
          <w:i w:val="false"/>
          <w:color w:val="000000"/>
          <w:sz w:val="22"/>
        </w:rPr>
        <w:t>means the document created and updated by the department, the department of natural resources, and Iowa State University of Science and Technology in order to assess and reduce nutrients in watersheds.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an eligible applicant who has qualified for and received cost-share payments under this chapter or a project participant who has qualified for and received cost-share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“Secretary” </w:t>
      </w:r>
      <w:r>
        <w:rPr>
          <w:rFonts w:ascii="Times New Roman" w:hAnsi="Times New Roman"/>
          <w:b w:val="false"/>
          <w:i w:val="false"/>
          <w:color w:val="000000"/>
          <w:sz w:val="22"/>
        </w:rPr>
        <w:t>means the Iowa secretary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“Watershed management authority” </w:t>
      </w:r>
      <w:r>
        <w:rPr>
          <w:rFonts w:ascii="Times New Roman" w:hAnsi="Times New Roman"/>
          <w:b w:val="false"/>
          <w:i w:val="false"/>
          <w:color w:val="000000"/>
          <w:sz w:val="22"/>
        </w:rPr>
        <w:t xml:space="preserve">means an authority as defined in Iowa Code section </w:t>
      </w:r>
      <w:hyperlink r:id="rId7">
        <w:r>
          <w:rPr>
            <w:rStyle w:val="Hyperlink"/>
            <w:rFonts w:ascii="Times New Roman" w:hAnsi="Times New Roman"/>
            <w:b w:val="false"/>
            <w:i w:val="false"/>
            <w:color w:val="000000"/>
            <w:sz w:val="22"/>
          </w:rPr>
          <w:t>466B.21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3957C</w:t>
      </w:r>
      <w:r>
        <w:rPr>
          <w:rFonts w:ascii="Times New Roman" w:hAnsi="Times New Roman"/>
          <w:b w:val="false"/>
          <w:i w:val="false"/>
          <w:color w:val="000000"/>
          <w:sz w:val="16"/>
        </w:rPr>
        <w:t>, IAB 8/15/18, effective 9/19/18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27—16.3</w:t>
      </w:r>
      <w:r>
        <w:rPr>
          <w:rFonts w:ascii="Times New Roman" w:hAnsi="Times New Roman"/>
          <w:b/>
          <w:i w:val="false"/>
          <w:color w:val="000000"/>
          <w:sz w:val="22"/>
        </w:rPr>
        <w:t xml:space="preserve">(161A,466B) </w:t>
      </w:r>
      <w:r>
        <w:rPr>
          <w:rFonts w:ascii="Times New Roman" w:hAnsi="Times New Roman"/>
          <w:b/>
          <w:i w:val="false"/>
          <w:color w:val="000000"/>
          <w:sz w:val="22"/>
        </w:rPr>
        <w:t xml:space="preserve">Cost share. </w:t>
      </w:r>
      <w:r>
        <w:rPr>
          <w:rFonts w:ascii="Times New Roman" w:hAnsi="Times New Roman"/>
          <w:b w:val="false"/>
          <w:i w:val="false"/>
          <w:color w:val="000000"/>
          <w:sz w:val="22"/>
        </w:rPr>
        <w:t>Except for edge-of-field practices and land use changes, the division’s share of the practice cost shall not exceed the lesser of 50 percent of the estimated cost of establishing the practice as determined by the division or 50 percent of the actual cost of the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3957C</w:t>
      </w:r>
      <w:r>
        <w:rPr>
          <w:rFonts w:ascii="Times New Roman" w:hAnsi="Times New Roman"/>
          <w:b w:val="false"/>
          <w:i w:val="false"/>
          <w:color w:val="000000"/>
          <w:sz w:val="16"/>
        </w:rPr>
        <w:t>, IAB 8/15/18, effective 9/19/18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27—16.4</w:t>
      </w:r>
      <w:r>
        <w:rPr>
          <w:rFonts w:ascii="Times New Roman" w:hAnsi="Times New Roman"/>
          <w:b/>
          <w:i w:val="false"/>
          <w:color w:val="000000"/>
          <w:sz w:val="22"/>
        </w:rPr>
        <w:t xml:space="preserve">(161A,466B) </w:t>
      </w:r>
      <w:r>
        <w:rPr>
          <w:rFonts w:ascii="Times New Roman" w:hAnsi="Times New Roman"/>
          <w:b/>
          <w:i w:val="false"/>
          <w:color w:val="000000"/>
          <w:sz w:val="22"/>
        </w:rPr>
        <w:t xml:space="preserve">Eligible practices. </w:t>
      </w:r>
      <w:r>
        <w:rPr>
          <w:rFonts w:ascii="Times New Roman" w:hAnsi="Times New Roman"/>
          <w:b w:val="false"/>
          <w:i w:val="false"/>
          <w:color w:val="000000"/>
          <w:sz w:val="22"/>
        </w:rPr>
        <w:t>Only practices whose function improves water quality will be eligible for funds. These practices are identified in the nutrient reduction strategy or by the division. Practices shall meet applicable Natural Resources Conservation Service conservation standards and specifications or applicable standards and specifications set out by the department. Urban infrastructure program projects shall meet the applicable standards in the Iowa storm water management manual published by the department of natural resources. Permanent practices eligible for funding include but are not limited to wetlands, bioreactors, buffers, structures, land use changes, terraces, waterways and managed drainage systems. Management practices eligible for funding include but are not limited to cover crops and living mulches. Application may be made to the division for cost-share funding for individual cost-share practices or for projects.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3957C</w:t>
      </w:r>
      <w:r>
        <w:rPr>
          <w:rFonts w:ascii="Times New Roman" w:hAnsi="Times New Roman"/>
          <w:b w:val="false"/>
          <w:i w:val="false"/>
          <w:color w:val="000000"/>
          <w:sz w:val="16"/>
        </w:rPr>
        <w:t>, IAB 8/15/18, effective 9/19/18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27—16.5</w:t>
      </w:r>
      <w:r>
        <w:rPr>
          <w:rFonts w:ascii="Times New Roman" w:hAnsi="Times New Roman"/>
          <w:b/>
          <w:i w:val="false"/>
          <w:color w:val="000000"/>
          <w:sz w:val="22"/>
        </w:rPr>
        <w:t xml:space="preserve">(161A) </w:t>
      </w:r>
      <w:r>
        <w:rPr>
          <w:rFonts w:ascii="Times New Roman" w:hAnsi="Times New Roman"/>
          <w:b/>
          <w:i w:val="false"/>
          <w:color w:val="000000"/>
          <w:sz w:val="22"/>
        </w:rPr>
        <w:t xml:space="preserve">Ineligible practices. </w:t>
      </w:r>
      <w:r>
        <w:rPr>
          <w:rFonts w:ascii="Times New Roman" w:hAnsi="Times New Roman"/>
          <w:b w:val="false"/>
          <w:i w:val="false"/>
          <w:color w:val="000000"/>
          <w:sz w:val="22"/>
        </w:rPr>
        <w:t>Repair and maintenance of existing practices are not eligible for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27—16.6</w:t>
      </w:r>
      <w:r>
        <w:rPr>
          <w:rFonts w:ascii="Times New Roman" w:hAnsi="Times New Roman"/>
          <w:b/>
          <w:i w:val="false"/>
          <w:color w:val="000000"/>
          <w:sz w:val="22"/>
        </w:rPr>
        <w:t xml:space="preserve">(161A) </w:t>
      </w:r>
      <w:r>
        <w:rPr>
          <w:rFonts w:ascii="Times New Roman" w:hAnsi="Times New Roman"/>
          <w:b/>
          <w:i w:val="false"/>
          <w:color w:val="000000"/>
          <w:sz w:val="22"/>
        </w:rPr>
        <w:t xml:space="preserve">Statewide cost-share practices. </w:t>
      </w:r>
      <w:r>
        <w:rPr>
          <w:rFonts w:ascii="Times New Roman" w:hAnsi="Times New Roman"/>
          <w:b w:val="false"/>
          <w:i w:val="false"/>
          <w:color w:val="000000"/>
          <w:sz w:val="22"/>
        </w:rPr>
        <w:t>Individual statewide cost-share practices may be eligible for funding as determined by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27—16.7</w:t>
      </w:r>
      <w:r>
        <w:rPr>
          <w:rFonts w:ascii="Times New Roman" w:hAnsi="Times New Roman"/>
          <w:b/>
          <w:i w:val="false"/>
          <w:color w:val="000000"/>
          <w:sz w:val="22"/>
        </w:rPr>
        <w:t xml:space="preserve">(161A) </w:t>
      </w:r>
      <w:r>
        <w:rPr>
          <w:rFonts w:ascii="Times New Roman" w:hAnsi="Times New Roman"/>
          <w:b/>
          <w:i w:val="false"/>
          <w:color w:val="000000"/>
          <w:sz w:val="22"/>
        </w:rPr>
        <w:t xml:space="preserve">Targeted watershed demonstration projects. </w:t>
      </w:r>
      <w:r>
        <w:rPr>
          <w:rFonts w:ascii="Times New Roman" w:hAnsi="Times New Roman"/>
          <w:b w:val="false"/>
          <w:i w:val="false"/>
          <w:color w:val="000000"/>
          <w:sz w:val="22"/>
        </w:rPr>
        <w:t>Projects shall be conducted in the identified watersheds. The division shall conduct water quality evaluations within supported subwatersheds.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27—16.8</w:t>
      </w:r>
      <w:r>
        <w:rPr>
          <w:rFonts w:ascii="Times New Roman" w:hAnsi="Times New Roman"/>
          <w:b/>
          <w:i w:val="false"/>
          <w:color w:val="000000"/>
          <w:sz w:val="22"/>
        </w:rPr>
        <w:t xml:space="preserve">(161A) </w:t>
      </w:r>
      <w:r>
        <w:rPr>
          <w:rFonts w:ascii="Times New Roman" w:hAnsi="Times New Roman"/>
          <w:b/>
          <w:i w:val="false"/>
          <w:color w:val="000000"/>
          <w:sz w:val="22"/>
        </w:rPr>
        <w:t xml:space="preserve">Project threshold 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16.8(1)</w:t>
      </w:r>
      <w:r>
        <w:rPr>
          <w:rFonts w:ascii="Times New Roman" w:hAnsi="Times New Roman"/>
          <w:b w:val="false"/>
          <w:i w:val="false"/>
          <w:color w:val="000000"/>
          <w:sz w:val="22"/>
        </w:rPr>
        <w:t> </w:t>
      </w:r>
      <w:r>
        <w:rPr>
          <w:rFonts w:ascii="Times New Roman" w:hAnsi="Times New Roman"/>
          <w:b w:val="false"/>
          <w:i/>
          <w:color w:val="000000"/>
          <w:sz w:val="22"/>
        </w:rPr>
        <w:t xml:space="preserve">General application requirements. </w:t>
      </w:r>
      <w:r>
        <w:rPr>
          <w:rFonts w:ascii="Times New Roman" w:hAnsi="Times New Roman"/>
          <w:b w:val="false"/>
          <w:i w:val="false"/>
          <w:color w:val="000000"/>
          <w:sz w:val="22"/>
        </w:rPr>
        <w:t>Project applications shall include the demonstration, outreach, and education objectives of the project and the plan for implementation; project costs, including the estimated cost of each measure to be implemented for each year of participation; anticipated landowner contributions; requested cost-share match; and expected contributions from project participants. Personnel needs and contributions should be outlined.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16.8(2)</w:t>
      </w:r>
      <w:r>
        <w:rPr>
          <w:rFonts w:ascii="Times New Roman" w:hAnsi="Times New Roman"/>
          <w:b w:val="false"/>
          <w:i w:val="false"/>
          <w:color w:val="000000"/>
          <w:sz w:val="22"/>
        </w:rPr>
        <w:t> </w:t>
      </w:r>
      <w:r>
        <w:rPr>
          <w:rFonts w:ascii="Times New Roman" w:hAnsi="Times New Roman"/>
          <w:b w:val="false"/>
          <w:i/>
          <w:color w:val="000000"/>
          <w:sz w:val="22"/>
        </w:rPr>
        <w:t xml:space="preserve">Landowner interest. </w:t>
      </w:r>
      <w:r>
        <w:rPr>
          <w:rFonts w:ascii="Times New Roman" w:hAnsi="Times New Roman"/>
          <w:b w:val="false"/>
          <w:i w:val="false"/>
          <w:color w:val="000000"/>
          <w:sz w:val="22"/>
        </w:rPr>
        <w:t>An assessment of the interest and participation of the eligible applicants shall be included. A majority of the eligible applicants must reside or own land in the demonstration project. Collaborative participation by eligible applicants in the same identified subwatershed will be viewed favorably.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16.8(3)</w:t>
      </w:r>
      <w:r>
        <w:rPr>
          <w:rFonts w:ascii="Times New Roman" w:hAnsi="Times New Roman"/>
          <w:b w:val="false"/>
          <w:i w:val="false"/>
          <w:color w:val="000000"/>
          <w:sz w:val="22"/>
        </w:rPr>
        <w:t> </w:t>
      </w:r>
      <w:r>
        <w:rPr>
          <w:rFonts w:ascii="Times New Roman" w:hAnsi="Times New Roman"/>
          <w:b w:val="false"/>
          <w:i/>
          <w:color w:val="000000"/>
          <w:sz w:val="22"/>
        </w:rPr>
        <w:t xml:space="preserve">Project maintenance. </w:t>
      </w:r>
      <w:r>
        <w:rPr>
          <w:rFonts w:ascii="Times New Roman" w:hAnsi="Times New Roman"/>
          <w:b w:val="false"/>
          <w:i w:val="false"/>
          <w:color w:val="000000"/>
          <w:sz w:val="22"/>
        </w:rPr>
        <w:t>Measures to be taken to ensure the long-term viability of the project through maintenance agreements, easements, or other such measures will be outlined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16.8(4)</w:t>
      </w:r>
      <w:r>
        <w:rPr>
          <w:rFonts w:ascii="Times New Roman" w:hAnsi="Times New Roman"/>
          <w:b w:val="false"/>
          <w:i w:val="false"/>
          <w:color w:val="000000"/>
          <w:sz w:val="22"/>
        </w:rPr>
        <w:t> </w:t>
      </w:r>
      <w:r>
        <w:rPr>
          <w:rFonts w:ascii="Times New Roman" w:hAnsi="Times New Roman"/>
          <w:b w:val="false"/>
          <w:i/>
          <w:color w:val="000000"/>
          <w:sz w:val="22"/>
        </w:rPr>
        <w:t xml:space="preserve">Time frame. </w:t>
      </w:r>
      <w:r>
        <w:rPr>
          <w:rFonts w:ascii="Times New Roman" w:hAnsi="Times New Roman"/>
          <w:b w:val="false"/>
          <w:i w:val="false"/>
          <w:color w:val="000000"/>
          <w:sz w:val="22"/>
        </w:rPr>
        <w:t>The time frame for implementation will be identified in the application and set out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16.8(5)</w:t>
      </w:r>
      <w:r>
        <w:rPr>
          <w:rFonts w:ascii="Times New Roman" w:hAnsi="Times New Roman"/>
          <w:b w:val="false"/>
          <w:i w:val="false"/>
          <w:color w:val="000000"/>
          <w:sz w:val="22"/>
        </w:rPr>
        <w:t> </w:t>
      </w:r>
      <w:r>
        <w:rPr>
          <w:rFonts w:ascii="Times New Roman" w:hAnsi="Times New Roman"/>
          <w:b w:val="false"/>
          <w:i/>
          <w:color w:val="000000"/>
          <w:sz w:val="22"/>
        </w:rPr>
        <w:t xml:space="preserve">Project evaluation. </w:t>
      </w:r>
      <w:r>
        <w:rPr>
          <w:rFonts w:ascii="Times New Roman" w:hAnsi="Times New Roman"/>
          <w:b w:val="false"/>
          <w:i w:val="false"/>
          <w:color w:val="000000"/>
          <w:sz w:val="22"/>
        </w:rPr>
        <w:t>The criteria for evaluation plans will be identified in the request for applications, and an evaluation plan will be contained in the project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27—16.9</w:t>
      </w:r>
      <w:r>
        <w:rPr>
          <w:rFonts w:ascii="Times New Roman" w:hAnsi="Times New Roman"/>
          <w:b/>
          <w:i w:val="false"/>
          <w:color w:val="000000"/>
          <w:sz w:val="22"/>
        </w:rPr>
        <w:t xml:space="preserve">(161A) </w:t>
      </w:r>
      <w:r>
        <w:rPr>
          <w:rFonts w:ascii="Times New Roman" w:hAnsi="Times New Roman"/>
          <w:b/>
          <w:i w:val="false"/>
          <w:color w:val="000000"/>
          <w:sz w:val="22"/>
        </w:rPr>
        <w:t xml:space="preserve">Application review. </w:t>
      </w:r>
      <w:r>
        <w:rPr>
          <w:rFonts w:ascii="Times New Roman" w:hAnsi="Times New Roman"/>
          <w:b w:val="false"/>
          <w:i w:val="false"/>
          <w:color w:val="000000"/>
          <w:sz w:val="22"/>
        </w:rPr>
        <w:t>Identified watershed projects meeting the threshold requirements will be reviewed, evaluated and ranked by the division using criteria described in the request for applications. Funding recommendations will take into account the program objective to demonstrate and promote a variety of conservation practices in combination with education and outreach.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27—16.10</w:t>
      </w:r>
      <w:r>
        <w:rPr>
          <w:rFonts w:ascii="Times New Roman" w:hAnsi="Times New Roman"/>
          <w:b/>
          <w:i w:val="false"/>
          <w:color w:val="000000"/>
          <w:sz w:val="22"/>
        </w:rPr>
        <w:t xml:space="preserve">(161A) </w:t>
      </w:r>
      <w:r>
        <w:rPr>
          <w:rFonts w:ascii="Times New Roman" w:hAnsi="Times New Roman"/>
          <w:b/>
          <w:i w:val="false"/>
          <w:color w:val="000000"/>
          <w:sz w:val="22"/>
        </w:rPr>
        <w:t xml:space="preserve">Annual review. </w:t>
      </w:r>
      <w:r>
        <w:rPr>
          <w:rFonts w:ascii="Times New Roman" w:hAnsi="Times New Roman"/>
          <w:b w:val="false"/>
          <w:i w:val="false"/>
          <w:color w:val="000000"/>
          <w:sz w:val="22"/>
        </w:rPr>
        <w:t>The division will review each project annually. The division may establish a budget for the next project year; renegotiate with the applicant or recipient about the objectives, procedures, budget, reports or time schedule; or terminate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27—16.11</w:t>
      </w:r>
      <w:r>
        <w:rPr>
          <w:rFonts w:ascii="Times New Roman" w:hAnsi="Times New Roman"/>
          <w:b/>
          <w:i w:val="false"/>
          <w:color w:val="000000"/>
          <w:sz w:val="22"/>
        </w:rPr>
        <w:t xml:space="preserve">(161A) </w:t>
      </w:r>
      <w:r>
        <w:rPr>
          <w:rFonts w:ascii="Times New Roman" w:hAnsi="Times New Roman"/>
          <w:b/>
          <w:i w:val="false"/>
          <w:color w:val="000000"/>
          <w:sz w:val="22"/>
        </w:rPr>
        <w:t xml:space="preserve">Contract requirements. </w:t>
      </w:r>
      <w:r>
        <w:rPr>
          <w:rFonts w:ascii="Times New Roman" w:hAnsi="Times New Roman"/>
          <w:b w:val="false"/>
          <w:i w:val="false"/>
          <w:color w:val="000000"/>
          <w:sz w:val="22"/>
        </w:rPr>
        <w:t>Recipients must complete performance and maintenance of the practice as required by the contract. Practices shall meet applicable Natural Resources Conservation Service conservation standards and specifications or applicable standards and specifications set out in the contract. The division may, for cause, find that a recipient is not in compliance with the requirements. At the division’s discretion, remedies for noncompliance may include penalties up to and including the return of funds to the division. Reasons for a finding of noncompliance include but are not limited to the recipient’s use of funds for activities not described in the contract, the recipient’s failure to complete funded projects in a timely manner, the recipient’s failure to carry out the terms of the performance/maintenance agreement, the recipient’s failure to comply with applicable state or local rules or regulations, or the lack of a continuing capacity of the recipient to carry out the approved project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27—16.12</w:t>
      </w:r>
      <w:r>
        <w:rPr>
          <w:rFonts w:ascii="Times New Roman" w:hAnsi="Times New Roman"/>
          <w:b/>
          <w:i w:val="false"/>
          <w:color w:val="000000"/>
          <w:sz w:val="22"/>
        </w:rPr>
        <w:t xml:space="preserve">(161A) </w:t>
      </w:r>
      <w:r>
        <w:rPr>
          <w:rFonts w:ascii="Times New Roman" w:hAnsi="Times New Roman"/>
          <w:b/>
          <w:i w:val="false"/>
          <w:color w:val="000000"/>
          <w:sz w:val="22"/>
        </w:rPr>
        <w:t xml:space="preserve">Appeal. </w:t>
      </w:r>
      <w:r>
        <w:rPr>
          <w:rFonts w:ascii="Times New Roman" w:hAnsi="Times New Roman"/>
          <w:b w:val="false"/>
          <w:i w:val="false"/>
          <w:color w:val="000000"/>
          <w:sz w:val="22"/>
        </w:rPr>
        <w:t>A recipient who has been ordered to maintain, repair or reconstruct a temporary or permanent practice subject to a maintenance/performance agreement may, as appropriate, review the order with the division. When a recipient wishes to appeal an order to maintain, repair or reconstruct a temporary or permanent practice subject to a maintenance/performance agreement, the recipient may file a written request for review with the division. The division review shall be conducted by the division director or the director’s designee. This proceeding shall be informal. The recipient shall request the review with the secretary in writing within 30 days following the review with the division. The secretary or the secretary’s designee will either affirm, modify, or vacate the administrative order following the completion of the contested case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1104C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 xml:space="preserve">2018 Iowa Acts, </w:t>
      </w:r>
      <w:r>
        <w:rPr>
          <w:rFonts w:ascii="Times New Roman" w:hAnsi="Times New Roman"/>
          <w:b w:val="false"/>
          <w:i w:val="false"/>
          <w:color w:val="000000"/>
          <w:sz w:val="22"/>
        </w:rPr>
        <w:t>Senate File 512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1104C</w:t>
      </w:r>
      <w:r>
        <w:rPr>
          <w:rFonts w:ascii="Times New Roman" w:hAnsi="Times New Roman"/>
          <w:b w:val="false"/>
          <w:i w:val="false"/>
          <w:color w:val="000000"/>
          <w:sz w:val="21"/>
        </w:rPr>
        <w:t xml:space="preserve"> (Notice ARC 0979C,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2192C</w:t>
      </w:r>
      <w:r>
        <w:rPr>
          <w:rFonts w:ascii="Times New Roman" w:hAnsi="Times New Roman"/>
          <w:b w:val="false"/>
          <w:i w:val="false"/>
          <w:color w:val="000000"/>
          <w:sz w:val="21"/>
        </w:rPr>
        <w:t xml:space="preserve"> (Notice ARC 2102C, IAB 8/19/15)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3957C</w:t>
      </w:r>
      <w:r>
        <w:rPr>
          <w:rFonts w:ascii="Times New Roman" w:hAnsi="Times New Roman"/>
          <w:b w:val="false"/>
          <w:i w:val="false"/>
          <w:color w:val="000000"/>
          <w:sz w:val="21"/>
        </w:rPr>
        <w:t xml:space="preserve"> (Notice ARC 3847C, IAB 6/20/18)</w:t>
      </w:r>
      <w:r>
        <w:rPr>
          <w:rFonts w:ascii="Times New Roman" w:hAnsi="Times New Roman"/>
          <w:b w:val="false"/>
          <w:i w:val="false"/>
          <w:color w:val="000000"/>
          <w:sz w:val="21"/>
        </w:rPr>
        <w:t>, IAB 8/15/18, effective 9/19/18]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6B.3.pdf" Type="http://schemas.openxmlformats.org/officeDocument/2006/relationships/hyperlink" Id="rId5"/>
    <Relationship TargetMode="External" Target="https://www.legis.iowa.gov/docs/ico/chapter/466B.45.pdf" Type="http://schemas.openxmlformats.org/officeDocument/2006/relationships/hyperlink" Id="rId6"/>
    <Relationship TargetMode="External" Target="https://www.legis.iowa.gov/docs/ico/chapter/466B.2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