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WATER PROTECTION PRACTICES—WATER PROTECTION FUND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27—12.1</w:t>
      </w:r>
      <w:r>
        <w:rPr>
          <w:rFonts w:ascii="Times New Roman" w:hAnsi="Times New Roman"/>
          <w:b w:val="false"/>
          <w:i w:val="false"/>
          <w:color w:val="000000"/>
          <w:sz w:val="22"/>
        </w:rPr>
        <w:t xml:space="preserve"> to </w:t>
      </w:r>
      <w:r>
        <w:rPr>
          <w:rFonts w:ascii="Times New Roman" w:hAnsi="Times New Roman"/>
          <w:b/>
          <w:i w:val="false"/>
          <w:color w:val="000000"/>
          <w:sz w:val="22"/>
        </w:rPr>
        <w:t>12.9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1</w:t>
      </w:r>
    </w:p>
    <w:p>
      <w:pPr>
        <w:spacing w:before="0" w:after="0"/>
        <w:ind w:left="120"/>
        <w:jc w:val="both"/>
      </w:pPr>
      <w:r>
        <w:rPr>
          <w:rFonts w:ascii="Times New Roman" w:hAnsi="Times New Roman"/>
          <w:b/>
          <w:i w:val="false"/>
          <w:color w:val="000000"/>
          <w:sz w:val="22"/>
        </w:rPr>
        <w:t>27—12.10</w:t>
      </w:r>
      <w:r>
        <w:rPr>
          <w:rFonts w:ascii="Times New Roman" w:hAnsi="Times New Roman"/>
          <w:b/>
          <w:i w:val="false"/>
          <w:color w:val="000000"/>
          <w:sz w:val="22"/>
        </w:rPr>
        <w:t xml:space="preserve">(161C) </w:t>
      </w:r>
      <w:r>
        <w:rPr>
          <w:rFonts w:ascii="Times New Roman" w:hAnsi="Times New Roman"/>
          <w:b/>
          <w:i w:val="false"/>
          <w:color w:val="000000"/>
          <w:sz w:val="22"/>
        </w:rPr>
        <w:t xml:space="preserve">Authority and scope. </w:t>
      </w:r>
      <w:r>
        <w:rPr>
          <w:rFonts w:ascii="Times New Roman" w:hAnsi="Times New Roman"/>
          <w:b w:val="false"/>
          <w:i w:val="false"/>
          <w:color w:val="000000"/>
          <w:sz w:val="22"/>
        </w:rPr>
        <w:t xml:space="preserve">This chapter establishes procedures and standards to be followed by soil and water conservation districts and the division of soil conservation and water quality of the department of agriculture and land stewardship, in accordance with the policies of the state soil conservation and water quality committee in implementing water protection practices through the water protection fund created in Iowa Code section </w:t>
      </w:r>
      <w:hyperlink r:id="rId5">
        <w:r>
          <w:rPr>
            <w:rStyle w:val="Hyperlink"/>
            <w:rFonts w:ascii="Times New Roman" w:hAnsi="Times New Roman"/>
            <w:b w:val="false"/>
            <w:i w:val="false"/>
            <w:color w:val="000000"/>
            <w:sz w:val="22"/>
          </w:rPr>
          <w:t>161C.4</w:t>
        </w:r>
      </w:hyperlink>
      <w:r>
        <w:rPr>
          <w:rFonts w:ascii="Times New Roman" w:hAnsi="Times New Roman"/>
          <w:b w:val="false"/>
          <w:i w:val="false"/>
          <w:color w:val="000000"/>
          <w:sz w:val="22"/>
        </w:rPr>
        <w:t>. This account shall be used to establish water protection practices with individual landowners.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 xml:space="preserve">; </w:t>
      </w:r>
      <w:r>
        <w:rPr>
          <w:rFonts w:ascii="Times New Roman" w:hAnsi="Times New Roman"/>
          <w:b/>
          <w:i w:val="false"/>
          <w:color w:val="000000"/>
          <w:sz w:val="16"/>
        </w:rPr>
        <w:t>ARC 3243C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27—12.11</w:t>
      </w:r>
      <w:r>
        <w:rPr>
          <w:rFonts w:ascii="Times New Roman" w:hAnsi="Times New Roman"/>
          <w:b/>
          <w:i w:val="false"/>
          <w:color w:val="000000"/>
          <w:sz w:val="22"/>
        </w:rPr>
        <w:t xml:space="preserve">(161C) </w:t>
      </w:r>
      <w:r>
        <w:rPr>
          <w:rFonts w:ascii="Times New Roman" w:hAnsi="Times New Roman"/>
          <w:b/>
          <w:i w:val="false"/>
          <w:color w:val="000000"/>
          <w:sz w:val="22"/>
        </w:rPr>
        <w:t xml:space="preserve">Rules are severable. </w:t>
      </w:r>
      <w:r>
        <w:rPr>
          <w:rFonts w:ascii="Times New Roman" w:hAnsi="Times New Roman"/>
          <w:b w:val="false"/>
          <w:i w:val="false"/>
          <w:color w:val="000000"/>
          <w:sz w:val="22"/>
        </w:rPr>
        <w:t>If any provision of a rule or subrule or the application thereof to any person or circumstance is held invalid, the invalidity does not affect other provisions or applications of the rule or subrule which can be given effect without invalid provision or application, and to this end the provisions of these rules or subrules are severable.</w:t>
      </w:r>
    </w:p>
    <w:p>
      <w:pPr>
        <w:spacing w:before="210" w:after="0"/>
        <w:ind w:left="120"/>
        <w:jc w:val="both"/>
      </w:pPr>
      <w:r>
        <w:rPr>
          <w:rFonts w:ascii="Times New Roman" w:hAnsi="Times New Roman"/>
          <w:b/>
          <w:i w:val="false"/>
          <w:color w:val="000000"/>
          <w:sz w:val="22"/>
        </w:rPr>
        <w:t>27—12.12</w:t>
      </w:r>
      <w:r>
        <w:rPr>
          <w:rFonts w:ascii="Times New Roman" w:hAnsi="Times New Roman"/>
          <w:b w:val="false"/>
          <w:i w:val="false"/>
          <w:color w:val="000000"/>
          <w:sz w:val="22"/>
        </w:rPr>
        <w:t xml:space="preserve"> to </w:t>
      </w:r>
      <w:r>
        <w:rPr>
          <w:rFonts w:ascii="Times New Roman" w:hAnsi="Times New Roman"/>
          <w:b/>
          <w:i w:val="false"/>
          <w:color w:val="000000"/>
          <w:sz w:val="22"/>
        </w:rPr>
        <w:t>12.19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2</w:t>
      </w:r>
    </w:p>
    <w:p>
      <w:pPr>
        <w:spacing w:before="0" w:after="0"/>
        <w:ind w:left="120"/>
        <w:jc w:val="both"/>
      </w:pPr>
      <w:r>
        <w:rPr>
          <w:rFonts w:ascii="Times New Roman" w:hAnsi="Times New Roman"/>
          <w:b/>
          <w:i w:val="false"/>
          <w:color w:val="000000"/>
          <w:sz w:val="22"/>
        </w:rPr>
        <w:t>27—12.20</w:t>
      </w:r>
      <w:r>
        <w:rPr>
          <w:rFonts w:ascii="Times New Roman" w:hAnsi="Times New Roman"/>
          <w:b/>
          <w:i w:val="false"/>
          <w:color w:val="000000"/>
          <w:sz w:val="22"/>
        </w:rPr>
        <w:t xml:space="preserve">(161C) </w:t>
      </w:r>
      <w:r>
        <w:rPr>
          <w:rFonts w:ascii="Times New Roman" w:hAnsi="Times New Roman"/>
          <w:b/>
          <w:i w:val="false"/>
          <w:color w:val="000000"/>
          <w:sz w:val="22"/>
        </w:rPr>
        <w:t xml:space="preserve">Definition of terms. </w:t>
      </w:r>
      <w:r>
        <w:rPr>
          <w:rFonts w:ascii="Times New Roman" w:hAnsi="Times New Roman"/>
          <w:b w:val="false"/>
          <w:i w:val="false"/>
          <w:color w:val="000000"/>
          <w:sz w:val="22"/>
        </w:rPr>
        <w:t xml:space="preserve">In addition to the term defined herein, definitions in rule </w:t>
      </w:r>
      <w:hyperlink r:id="rId6">
        <w:r>
          <w:rPr>
            <w:rStyle w:val="Hyperlink"/>
            <w:rFonts w:ascii="Times New Roman" w:hAnsi="Times New Roman"/>
            <w:b w:val="false"/>
            <w:i w:val="false"/>
            <w:color w:val="000000"/>
            <w:sz w:val="22"/>
          </w:rPr>
          <w:t>27—10.20</w:t>
        </w:r>
      </w:hyperlink>
      <w:r>
        <w:rPr>
          <w:rFonts w:ascii="Times New Roman" w:hAnsi="Times New Roman"/>
          <w:b w:val="false"/>
          <w:i w:val="false"/>
          <w:color w:val="000000"/>
          <w:sz w:val="22"/>
        </w:rPr>
        <w:t>(161A)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“Agricultural production” </w:t>
      </w:r>
      <w:r>
        <w:rPr>
          <w:rFonts w:ascii="Times New Roman" w:hAnsi="Times New Roman"/>
          <w:b w:val="false"/>
          <w:i w:val="false"/>
          <w:color w:val="000000"/>
          <w:sz w:val="22"/>
        </w:rPr>
        <w:t>means the commercial production of food or fiber.</w:t>
      </w:r>
    </w:p>
    <w:p>
      <w:pPr>
        <w:spacing w:before="210" w:after="0"/>
        <w:ind w:left="120"/>
        <w:jc w:val="both"/>
      </w:pPr>
      <w:r>
        <w:rPr>
          <w:rFonts w:ascii="Times New Roman" w:hAnsi="Times New Roman"/>
          <w:b/>
          <w:i w:val="false"/>
          <w:color w:val="000000"/>
          <w:sz w:val="22"/>
        </w:rPr>
        <w:t>27—12.21</w:t>
      </w:r>
      <w:r>
        <w:rPr>
          <w:rFonts w:ascii="Times New Roman" w:hAnsi="Times New Roman"/>
          <w:b w:val="false"/>
          <w:i w:val="false"/>
          <w:color w:val="000000"/>
          <w:sz w:val="22"/>
        </w:rPr>
        <w:t xml:space="preserve"> to </w:t>
      </w:r>
      <w:r>
        <w:rPr>
          <w:rFonts w:ascii="Times New Roman" w:hAnsi="Times New Roman"/>
          <w:b/>
          <w:i w:val="false"/>
          <w:color w:val="000000"/>
          <w:sz w:val="22"/>
        </w:rPr>
        <w:t>12.29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3</w:t>
      </w:r>
    </w:p>
    <w:p>
      <w:pPr>
        <w:spacing w:before="0" w:after="0"/>
        <w:ind w:left="120"/>
        <w:jc w:val="both"/>
      </w:pPr>
      <w:r>
        <w:rPr>
          <w:rFonts w:ascii="Times New Roman" w:hAnsi="Times New Roman"/>
          <w:b/>
          <w:i w:val="false"/>
          <w:color w:val="000000"/>
          <w:sz w:val="22"/>
        </w:rPr>
        <w:t>27—12.30</w:t>
      </w:r>
      <w:r>
        <w:rPr>
          <w:rFonts w:ascii="Times New Roman" w:hAnsi="Times New Roman"/>
          <w:b/>
          <w:i w:val="false"/>
          <w:color w:val="000000"/>
          <w:sz w:val="22"/>
        </w:rPr>
        <w:t xml:space="preserve">(161C) </w:t>
      </w:r>
      <w:r>
        <w:rPr>
          <w:rFonts w:ascii="Times New Roman" w:hAnsi="Times New Roman"/>
          <w:b/>
          <w:i w:val="false"/>
          <w:color w:val="000000"/>
          <w:sz w:val="22"/>
        </w:rPr>
        <w:t xml:space="preserve">Compliance, refund, reviews and appeals. </w:t>
      </w:r>
      <w:r>
        <w:rPr>
          <w:rFonts w:ascii="Times New Roman" w:hAnsi="Times New Roman"/>
          <w:b w:val="false"/>
          <w:i w:val="false"/>
          <w:color w:val="000000"/>
          <w:sz w:val="22"/>
        </w:rPr>
        <w:t xml:space="preserve">Rules </w:t>
      </w:r>
      <w:hyperlink r:id="rId7">
        <w:r>
          <w:rPr>
            <w:rStyle w:val="Hyperlink"/>
            <w:rFonts w:ascii="Times New Roman" w:hAnsi="Times New Roman"/>
            <w:b w:val="false"/>
            <w:i w:val="false"/>
            <w:color w:val="000000"/>
            <w:sz w:val="22"/>
          </w:rPr>
          <w:t>27—10.30</w:t>
        </w:r>
      </w:hyperlink>
      <w:r>
        <w:rPr>
          <w:rFonts w:ascii="Times New Roman" w:hAnsi="Times New Roman"/>
          <w:b w:val="false"/>
          <w:i w:val="false"/>
          <w:color w:val="000000"/>
          <w:sz w:val="22"/>
        </w:rPr>
        <w:t xml:space="preserve">(161A) through </w:t>
      </w:r>
      <w:hyperlink r:id="rId8">
        <w:r>
          <w:rPr>
            <w:rStyle w:val="Hyperlink"/>
            <w:rFonts w:ascii="Times New Roman" w:hAnsi="Times New Roman"/>
            <w:b w:val="false"/>
            <w:i w:val="false"/>
            <w:color w:val="000000"/>
            <w:sz w:val="22"/>
          </w:rPr>
          <w:t>27—10.33</w:t>
        </w:r>
      </w:hyperlink>
      <w:r>
        <w:rPr>
          <w:rFonts w:ascii="Times New Roman" w:hAnsi="Times New Roman"/>
          <w:b w:val="false"/>
          <w:i w:val="false"/>
          <w:color w:val="000000"/>
          <w:sz w:val="22"/>
        </w:rPr>
        <w:t>(161A)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8755B</w:t>
      </w:r>
      <w:r>
        <w:rPr>
          <w:rFonts w:ascii="Times New Roman" w:hAnsi="Times New Roman"/>
          <w:b w:val="false"/>
          <w:i w:val="false"/>
          <w:color w:val="000000"/>
          <w:sz w:val="16"/>
        </w:rPr>
        <w:t>, IAB 5/19/10, effective 7/1/10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27—12.31</w:t>
      </w:r>
      <w:r>
        <w:rPr>
          <w:rFonts w:ascii="Times New Roman" w:hAnsi="Times New Roman"/>
          <w:b w:val="false"/>
          <w:i w:val="false"/>
          <w:color w:val="000000"/>
          <w:sz w:val="22"/>
        </w:rPr>
        <w:t xml:space="preserve"> to </w:t>
      </w:r>
      <w:r>
        <w:rPr>
          <w:rFonts w:ascii="Times New Roman" w:hAnsi="Times New Roman"/>
          <w:b/>
          <w:i w:val="false"/>
          <w:color w:val="000000"/>
          <w:sz w:val="22"/>
        </w:rPr>
        <w:t>12.39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4</w:t>
      </w:r>
    </w:p>
    <w:p>
      <w:pPr>
        <w:spacing w:before="0" w:after="0"/>
        <w:ind w:left="120"/>
        <w:jc w:val="both"/>
      </w:pPr>
      <w:r>
        <w:rPr>
          <w:rFonts w:ascii="Times New Roman" w:hAnsi="Times New Roman"/>
          <w:b/>
          <w:i w:val="false"/>
          <w:color w:val="000000"/>
          <w:sz w:val="22"/>
        </w:rPr>
        <w:t>27—12.40</w:t>
      </w:r>
      <w:r>
        <w:rPr>
          <w:rFonts w:ascii="Times New Roman" w:hAnsi="Times New Roman"/>
          <w:b/>
          <w:i w:val="false"/>
          <w:color w:val="000000"/>
          <w:sz w:val="22"/>
        </w:rPr>
        <w:t xml:space="preserve">(161C) </w:t>
      </w:r>
      <w:r>
        <w:rPr>
          <w:rFonts w:ascii="Times New Roman" w:hAnsi="Times New Roman"/>
          <w:b/>
          <w:i w:val="false"/>
          <w:color w:val="000000"/>
          <w:sz w:val="22"/>
        </w:rPr>
        <w:t xml:space="preserve">Appropriations. </w:t>
      </w:r>
      <w:r>
        <w:rPr>
          <w:rFonts w:ascii="Times New Roman" w:hAnsi="Times New Roman"/>
          <w:b w:val="false"/>
          <w:i w:val="false"/>
          <w:color w:val="000000"/>
          <w:sz w:val="22"/>
        </w:rPr>
        <w:t>Resource enhancement and protection program, soil and water enhancement account funds are allocated to the water protection fund. Each year’s allocation of water protection funds is divided equally between the water quality protection projects account and the water protection practices account.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8755B</w:t>
      </w:r>
      <w:r>
        <w:rPr>
          <w:rFonts w:ascii="Times New Roman" w:hAnsi="Times New Roman"/>
          <w:b w:val="false"/>
          <w:i w:val="false"/>
          <w:color w:val="000000"/>
          <w:sz w:val="16"/>
        </w:rPr>
        <w:t>, IAB 5/19/10, effective 7/1/10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27—12.41</w:t>
      </w:r>
      <w:r>
        <w:rPr>
          <w:rFonts w:ascii="Times New Roman" w:hAnsi="Times New Roman"/>
          <w:b w:val="false"/>
          <w:i w:val="false"/>
          <w:color w:val="000000"/>
          <w:sz w:val="22"/>
        </w:rPr>
        <w:t xml:space="preserve"> to </w:t>
      </w:r>
      <w:r>
        <w:rPr>
          <w:rFonts w:ascii="Times New Roman" w:hAnsi="Times New Roman"/>
          <w:b/>
          <w:i w:val="false"/>
          <w:color w:val="000000"/>
          <w:sz w:val="22"/>
        </w:rPr>
        <w:t>12.49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5</w:t>
      </w:r>
    </w:p>
    <w:p>
      <w:pPr>
        <w:spacing w:before="0" w:after="0"/>
        <w:ind w:left="120"/>
        <w:jc w:val="both"/>
      </w:pPr>
      <w:r>
        <w:rPr>
          <w:rFonts w:ascii="Times New Roman" w:hAnsi="Times New Roman"/>
          <w:b/>
          <w:i w:val="false"/>
          <w:color w:val="000000"/>
          <w:sz w:val="22"/>
        </w:rPr>
        <w:t>27—12.50</w:t>
      </w:r>
      <w:r>
        <w:rPr>
          <w:rFonts w:ascii="Times New Roman" w:hAnsi="Times New Roman"/>
          <w:b/>
          <w:i w:val="false"/>
          <w:color w:val="000000"/>
          <w:sz w:val="22"/>
        </w:rPr>
        <w:t xml:space="preserve">(161C) </w:t>
      </w:r>
      <w:r>
        <w:rPr>
          <w:rFonts w:ascii="Times New Roman" w:hAnsi="Times New Roman"/>
          <w:b/>
          <w:i w:val="false"/>
          <w:color w:val="000000"/>
          <w:sz w:val="22"/>
        </w:rPr>
        <w:t xml:space="preserve">Water protection practices account. </w:t>
      </w:r>
      <w:r>
        <w:rPr>
          <w:rFonts w:ascii="Times New Roman" w:hAnsi="Times New Roman"/>
          <w:b w:val="false"/>
          <w:i w:val="false"/>
          <w:color w:val="000000"/>
          <w:sz w:val="22"/>
        </w:rPr>
        <w:t>This part defines procedures for allocation, recall and reallocation of water protection practices funds to soil and water conservation districts and to the division’s reserve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0737C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27—12.51</w:t>
      </w:r>
      <w:r>
        <w:rPr>
          <w:rFonts w:ascii="Times New Roman" w:hAnsi="Times New Roman"/>
          <w:b/>
          <w:i w:val="false"/>
          <w:color w:val="000000"/>
          <w:sz w:val="22"/>
        </w:rPr>
        <w:t xml:space="preserve">(161C) </w:t>
      </w:r>
      <w:r>
        <w:rPr>
          <w:rFonts w:ascii="Times New Roman" w:hAnsi="Times New Roman"/>
          <w:b/>
          <w:i w:val="false"/>
          <w:color w:val="000000"/>
          <w:sz w:val="22"/>
        </w:rPr>
        <w:t xml:space="preserve">Allocation to soil and water conservation districts.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12.51(1)</w:t>
      </w:r>
      <w:r>
        <w:rPr>
          <w:rFonts w:ascii="Times New Roman" w:hAnsi="Times New Roman"/>
          <w:b w:val="false"/>
          <w:i w:val="false"/>
          <w:color w:val="000000"/>
          <w:sz w:val="22"/>
        </w:rPr>
        <w:t> </w:t>
      </w:r>
      <w:r>
        <w:rPr>
          <w:rFonts w:ascii="Times New Roman" w:hAnsi="Times New Roman"/>
          <w:b w:val="false"/>
          <w:i/>
          <w:color w:val="000000"/>
          <w:sz w:val="22"/>
        </w:rPr>
        <w:t xml:space="preserve">Original allocation. </w:t>
      </w:r>
      <w:r>
        <w:rPr>
          <w:rFonts w:ascii="Times New Roman" w:hAnsi="Times New Roman"/>
          <w:b w:val="false"/>
          <w:i w:val="false"/>
          <w:color w:val="000000"/>
          <w:sz w:val="22"/>
        </w:rPr>
        <w:t>July 1 of each year, funds appropriated to the water protection practices account will be allocated to districts. Seventy-three and one-half percent of the funds will be divided equally among 100 soil and water conservation districts. Twenty-five percent of the funds plus any additional appropriations for reforestation will be kept in a separate account for woodland establishment and protection, and establishment of native grasses and forbs. One and one-half percent will be held in a reserve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12.51(2)</w:t>
      </w:r>
      <w:r>
        <w:rPr>
          <w:rFonts w:ascii="Times New Roman" w:hAnsi="Times New Roman"/>
          <w:b w:val="false"/>
          <w:i w:val="false"/>
          <w:color w:val="000000"/>
          <w:sz w:val="22"/>
        </w:rPr>
        <w:t> </w:t>
      </w:r>
      <w:r>
        <w:rPr>
          <w:rFonts w:ascii="Times New Roman" w:hAnsi="Times New Roman"/>
          <w:b w:val="false"/>
          <w:i/>
          <w:color w:val="000000"/>
          <w:sz w:val="22"/>
        </w:rPr>
        <w:t xml:space="preserve">Recall of funds. </w:t>
      </w:r>
      <w:r>
        <w:rPr>
          <w:rFonts w:ascii="Times New Roman" w:hAnsi="Times New Roman"/>
          <w:b w:val="false"/>
          <w:i w:val="false"/>
          <w:color w:val="000000"/>
          <w:sz w:val="22"/>
        </w:rPr>
        <w:t>Any funds allocated in the current fiscal year that the districts have not spent or obligated by June 30 shall be recalled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12.51(3)</w:t>
      </w:r>
      <w:r>
        <w:rPr>
          <w:rFonts w:ascii="Times New Roman" w:hAnsi="Times New Roman"/>
          <w:b w:val="false"/>
          <w:i w:val="false"/>
          <w:color w:val="000000"/>
          <w:sz w:val="22"/>
        </w:rPr>
        <w:t> </w:t>
      </w:r>
      <w:r>
        <w:rPr>
          <w:rFonts w:ascii="Times New Roman" w:hAnsi="Times New Roman"/>
          <w:b w:val="false"/>
          <w:i/>
          <w:color w:val="000000"/>
          <w:sz w:val="22"/>
        </w:rPr>
        <w:t xml:space="preserve">Supplemental allocations. </w:t>
      </w:r>
      <w:r>
        <w:rPr>
          <w:rFonts w:ascii="Times New Roman" w:hAnsi="Times New Roman"/>
          <w:b w:val="false"/>
          <w:i w:val="false"/>
          <w:color w:val="000000"/>
          <w:sz w:val="22"/>
        </w:rPr>
        <w:t>The districts shall identify valid applications and cost estimates, if any, for supplemental allocations to the division by September 1. Factors to be considered in making a supplemental allocation to a district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sum of cost estimates (for pending applications) in each district, divided by the total cost estimates (for pending applications) for all 100 districts, multiplied by the remaining available program funds;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or not the proposed supplemental allocation exceeds three times the original allocation to the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12.51(4)</w:t>
      </w:r>
      <w:r>
        <w:rPr>
          <w:rFonts w:ascii="Times New Roman" w:hAnsi="Times New Roman"/>
          <w:b w:val="false"/>
          <w:i w:val="false"/>
          <w:color w:val="000000"/>
          <w:sz w:val="22"/>
        </w:rPr>
        <w:t> </w:t>
      </w:r>
      <w:r>
        <w:rPr>
          <w:rFonts w:ascii="Times New Roman" w:hAnsi="Times New Roman"/>
          <w:b w:val="false"/>
          <w:i/>
          <w:color w:val="000000"/>
          <w:sz w:val="22"/>
        </w:rPr>
        <w:t xml:space="preserve">Reallocation of recalled funds.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7/18/07</w:t>
      </w:r>
      <w:r>
        <w:rPr>
          <w:rFonts w:ascii="Times New Roman" w:hAnsi="Times New Roman"/>
          <w:b w:val="false"/>
          <w:i w:val="false"/>
          <w:color w:val="000000"/>
          <w:sz w:val="22"/>
        </w:rPr>
        <w:t>, effective 6/27/07.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12.51(5)</w:t>
      </w:r>
      <w:r>
        <w:rPr>
          <w:rFonts w:ascii="Times New Roman" w:hAnsi="Times New Roman"/>
          <w:b w:val="false"/>
          <w:i w:val="false"/>
          <w:color w:val="000000"/>
          <w:sz w:val="22"/>
        </w:rPr>
        <w:t> </w:t>
      </w:r>
      <w:r>
        <w:rPr>
          <w:rFonts w:ascii="Times New Roman" w:hAnsi="Times New Roman"/>
          <w:b w:val="false"/>
          <w:i/>
          <w:color w:val="000000"/>
          <w:sz w:val="22"/>
        </w:rPr>
        <w:t xml:space="preserve">Woodland, native grass and forbs fund. </w:t>
      </w:r>
      <w:r>
        <w:rPr>
          <w:rFonts w:ascii="Times New Roman" w:hAnsi="Times New Roman"/>
          <w:b w:val="false"/>
          <w:i w:val="false"/>
          <w:color w:val="000000"/>
          <w:sz w:val="22"/>
        </w:rPr>
        <w:t>Twenty-five percent of the funds and any additional appropriations for reforestation will be allocated to districts.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Original allocation. </w:t>
      </w:r>
      <w:r>
        <w:rPr>
          <w:rFonts w:ascii="Times New Roman" w:hAnsi="Times New Roman"/>
          <w:b w:val="false"/>
          <w:i w:val="false"/>
          <w:color w:val="000000"/>
          <w:sz w:val="22"/>
        </w:rPr>
        <w:t>The funds distributed to this program will be allocated equally to the 100 soil and water conservation districts at the beginning of each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Supplemental allocation. </w:t>
      </w:r>
      <w:r>
        <w:rPr>
          <w:rFonts w:ascii="Times New Roman" w:hAnsi="Times New Roman"/>
          <w:b w:val="false"/>
          <w:i w:val="false"/>
          <w:color w:val="000000"/>
          <w:sz w:val="22"/>
        </w:rPr>
        <w:t>The districts shall identify valid applications and cost estimates, if any, for supplemental allocations to the division by September 1. Factors to be considered in making a supplemental allocation to a district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sum of cost estimates (for pending applications) in each district, divided by the total cost estimates (for pending applications) for all 100 districts, multiplied by the remaining available program funds;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or not the proposed supplemental allocation exceeds three times the original allocation to the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Eligibility of soil and water conservation districts for supplemental allocation. </w:t>
      </w:r>
      <w:r>
        <w:rPr>
          <w:rFonts w:ascii="Times New Roman" w:hAnsi="Times New Roman"/>
          <w:b w:val="false"/>
          <w:i w:val="false"/>
          <w:color w:val="000000"/>
          <w:sz w:val="22"/>
        </w:rPr>
        <w:t>For a district to qualify for a supplemental allocation, the district must meet the following requirement: seventy-five percent of the woodland, native grass and forbs funds shall be obligated to landowners.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12.51(6)</w:t>
      </w:r>
      <w:r>
        <w:rPr>
          <w:rFonts w:ascii="Times New Roman" w:hAnsi="Times New Roman"/>
          <w:b w:val="false"/>
          <w:i w:val="false"/>
          <w:color w:val="000000"/>
          <w:sz w:val="22"/>
        </w:rPr>
        <w:t> </w:t>
      </w:r>
      <w:r>
        <w:rPr>
          <w:rFonts w:ascii="Times New Roman" w:hAnsi="Times New Roman"/>
          <w:b w:val="false"/>
          <w:i/>
          <w:color w:val="000000"/>
          <w:sz w:val="22"/>
        </w:rPr>
        <w:t xml:space="preserve">Reserve funds. </w:t>
      </w:r>
      <w:r>
        <w:rPr>
          <w:rFonts w:ascii="Times New Roman" w:hAnsi="Times New Roman"/>
          <w:b w:val="false"/>
          <w:i w:val="false"/>
          <w:color w:val="000000"/>
          <w:sz w:val="22"/>
        </w:rPr>
        <w:t>The division may administer a reserve fund for the program consisting of not more than 1.5 percent of each year’s appropriated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Purpose and use of the reserve fund. The reserve fund will be set aside and used only to fund contingencies that occur in the application of practices in the districts.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On June 30 each year the division will transfer the unspent reserve fund balance into the water protection practices account to be allocated to districts under subrule </w:t>
      </w:r>
      <w:hyperlink r:id="rId9">
        <w:r>
          <w:rPr>
            <w:rStyle w:val="Hyperlink"/>
            <w:rFonts w:ascii="Times New Roman" w:hAnsi="Times New Roman"/>
            <w:b w:val="false"/>
            <w:i w:val="false"/>
            <w:color w:val="000000"/>
            <w:sz w:val="22"/>
          </w:rPr>
          <w:t>12.51(1)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12.51(7)</w:t>
      </w:r>
      <w:r>
        <w:rPr>
          <w:rFonts w:ascii="Times New Roman" w:hAnsi="Times New Roman"/>
          <w:b w:val="false"/>
          <w:i w:val="false"/>
          <w:color w:val="000000"/>
          <w:sz w:val="22"/>
        </w:rPr>
        <w:t> </w:t>
      </w:r>
      <w:r>
        <w:rPr>
          <w:rFonts w:ascii="Times New Roman" w:hAnsi="Times New Roman"/>
          <w:b w:val="false"/>
          <w:i/>
          <w:color w:val="000000"/>
          <w:sz w:val="22"/>
        </w:rPr>
        <w:t xml:space="preserve">Recall and reallocation of funds by division director. </w:t>
      </w:r>
      <w:r>
        <w:rPr>
          <w:rFonts w:ascii="Times New Roman" w:hAnsi="Times New Roman"/>
          <w:b w:val="false"/>
          <w:i w:val="false"/>
          <w:color w:val="000000"/>
          <w:sz w:val="22"/>
        </w:rPr>
        <w:t>If districts are not demonstrating an ability to use available funding, the division director may recall these funds and reallocate the funds to a district that has an immediate need for additional funding.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8755B</w:t>
      </w:r>
      <w:r>
        <w:rPr>
          <w:rFonts w:ascii="Times New Roman" w:hAnsi="Times New Roman"/>
          <w:b w:val="false"/>
          <w:i w:val="false"/>
          <w:color w:val="000000"/>
          <w:sz w:val="16"/>
        </w:rPr>
        <w:t>, IAB 5/19/10,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0737C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3244C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27—12.52</w:t>
      </w:r>
      <w:r>
        <w:rPr>
          <w:rFonts w:ascii="Times New Roman" w:hAnsi="Times New Roman"/>
          <w:b w:val="false"/>
          <w:i w:val="false"/>
          <w:color w:val="000000"/>
          <w:sz w:val="22"/>
        </w:rPr>
        <w:t xml:space="preserve"> to </w:t>
      </w:r>
      <w:r>
        <w:rPr>
          <w:rFonts w:ascii="Times New Roman" w:hAnsi="Times New Roman"/>
          <w:b/>
          <w:i w:val="false"/>
          <w:color w:val="000000"/>
          <w:sz w:val="22"/>
        </w:rPr>
        <w:t>12.59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6</w:t>
      </w:r>
    </w:p>
    <w:p>
      <w:pPr>
        <w:spacing w:before="210" w:after="0"/>
        <w:ind w:left="120"/>
        <w:jc w:val="both"/>
      </w:pPr>
      <w:r>
        <w:rPr>
          <w:rFonts w:ascii="Times New Roman" w:hAnsi="Times New Roman"/>
          <w:b/>
          <w:i w:val="false"/>
          <w:color w:val="000000"/>
          <w:sz w:val="22"/>
        </w:rPr>
        <w:t>27—12.60</w:t>
      </w:r>
      <w:r>
        <w:rPr>
          <w:rFonts w:ascii="Times New Roman" w:hAnsi="Times New Roman"/>
          <w:b/>
          <w:i w:val="false"/>
          <w:color w:val="000000"/>
          <w:sz w:val="22"/>
        </w:rPr>
        <w:t xml:space="preserve">(161C) </w:t>
      </w:r>
      <w:r>
        <w:rPr>
          <w:rFonts w:ascii="Times New Roman" w:hAnsi="Times New Roman"/>
          <w:b/>
          <w:i w:val="false"/>
          <w:color w:val="000000"/>
          <w:sz w:val="22"/>
        </w:rPr>
        <w:t xml:space="preserve">Applications and agreements. </w:t>
      </w:r>
      <w:r>
        <w:rPr>
          <w:rFonts w:ascii="Times New Roman" w:hAnsi="Times New Roman"/>
          <w:b w:val="false"/>
          <w:i w:val="false"/>
          <w:color w:val="000000"/>
          <w:sz w:val="22"/>
        </w:rPr>
        <w:t>The purpose of this part is to identify and define procedures to be followed in applying for and entering agreements for receiving water protection practices funds.</w:t>
      </w:r>
    </w:p>
    <w:p>
      <w:pPr>
        <w:spacing w:before="210" w:after="0"/>
        <w:ind w:left="120"/>
        <w:jc w:val="both"/>
      </w:pPr>
      <w:r>
        <w:rPr>
          <w:rFonts w:ascii="Times New Roman" w:hAnsi="Times New Roman"/>
          <w:b/>
          <w:i w:val="false"/>
          <w:color w:val="000000"/>
          <w:sz w:val="22"/>
        </w:rPr>
        <w:t>27—12.61</w:t>
      </w:r>
      <w:r>
        <w:rPr>
          <w:rFonts w:ascii="Times New Roman" w:hAnsi="Times New Roman"/>
          <w:b/>
          <w:i w:val="false"/>
          <w:color w:val="000000"/>
          <w:sz w:val="22"/>
        </w:rPr>
        <w:t xml:space="preserve">(161C) </w:t>
      </w:r>
      <w:r>
        <w:rPr>
          <w:rFonts w:ascii="Times New Roman" w:hAnsi="Times New Roman"/>
          <w:b/>
          <w:i w:val="false"/>
          <w:color w:val="000000"/>
          <w:sz w:val="22"/>
        </w:rPr>
        <w:t xml:space="preserve">Applications submitted to soil and water conservation district. </w:t>
      </w:r>
      <w:r>
        <w:rPr>
          <w:rFonts w:ascii="Times New Roman" w:hAnsi="Times New Roman"/>
          <w:b w:val="false"/>
          <w:i w:val="false"/>
          <w:color w:val="000000"/>
          <w:sz w:val="22"/>
        </w:rPr>
        <w:t>Landowners or farm operators desiring to be considered for water protection practices funds shall complete necessary applications as specified by the district. All application forms and agreements for water protection practices funds are available from and shall be submitted to the district office located in the county where such practices are proposed. If an applicant’s land is in more than one district, the respective district commissioners will review the application and agree to obligate all funds from one district or prorate the funding between districts.</w:t>
      </w:r>
    </w:p>
    <w:p>
      <w:pPr>
        <w:spacing w:before="0" w:after="0"/>
        <w:ind w:left="120"/>
        <w:jc w:val="both"/>
      </w:pPr>
      <w:r>
        <w:rPr>
          <w:rFonts w:ascii="Times New Roman" w:hAnsi="Times New Roman"/>
          <w:b/>
          <w:i w:val="false"/>
          <w:color w:val="000000"/>
          <w:sz w:val="22"/>
        </w:rPr>
        <w:t>27—12.62</w:t>
      </w:r>
      <w:r>
        <w:rPr>
          <w:rFonts w:ascii="Times New Roman" w:hAnsi="Times New Roman"/>
          <w:b/>
          <w:i w:val="false"/>
          <w:color w:val="000000"/>
          <w:sz w:val="22"/>
        </w:rPr>
        <w:t xml:space="preserve">(161C) </w:t>
      </w:r>
      <w:r>
        <w:rPr>
          <w:rFonts w:ascii="Times New Roman" w:hAnsi="Times New Roman"/>
          <w:b/>
          <w:i w:val="false"/>
          <w:color w:val="000000"/>
          <w:sz w:val="22"/>
        </w:rPr>
        <w:t xml:space="preserve">Application sign-up.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12.62(1)</w:t>
      </w:r>
      <w:r>
        <w:rPr>
          <w:rFonts w:ascii="Times New Roman" w:hAnsi="Times New Roman"/>
          <w:b w:val="false"/>
          <w:i w:val="false"/>
          <w:color w:val="000000"/>
          <w:sz w:val="22"/>
        </w:rPr>
        <w:t> </w:t>
      </w:r>
      <w:r>
        <w:rPr>
          <w:rFonts w:ascii="Times New Roman" w:hAnsi="Times New Roman"/>
          <w:b w:val="false"/>
          <w:i/>
          <w:color w:val="000000"/>
          <w:sz w:val="22"/>
        </w:rPr>
        <w:t xml:space="preserve">Signatures by landowner and qualified applicant. </w:t>
      </w:r>
      <w:r>
        <w:rPr>
          <w:rFonts w:ascii="Times New Roman" w:hAnsi="Times New Roman"/>
          <w:b w:val="false"/>
          <w:i w:val="false"/>
          <w:color w:val="000000"/>
          <w:sz w:val="22"/>
        </w:rPr>
        <w:t>All applications and agreements shall be signed by the landowner and applicant. For an applicant to qualify for payment, both landowner and applicant must sign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12.62(2)</w:t>
      </w:r>
      <w:r>
        <w:rPr>
          <w:rFonts w:ascii="Times New Roman" w:hAnsi="Times New Roman"/>
          <w:b w:val="false"/>
          <w:i w:val="false"/>
          <w:color w:val="000000"/>
          <w:sz w:val="22"/>
        </w:rPr>
        <w:t> </w:t>
      </w:r>
      <w:r>
        <w:rPr>
          <w:rFonts w:ascii="Times New Roman" w:hAnsi="Times New Roman"/>
          <w:b w:val="false"/>
          <w:i/>
          <w:color w:val="000000"/>
          <w:sz w:val="22"/>
        </w:rPr>
        <w:t xml:space="preserve">Land being bought under contract. </w:t>
      </w:r>
      <w:r>
        <w:rPr>
          <w:rFonts w:ascii="Times New Roman" w:hAnsi="Times New Roman"/>
          <w:b w:val="false"/>
          <w:i w:val="false"/>
          <w:color w:val="000000"/>
          <w:sz w:val="22"/>
        </w:rPr>
        <w:t>All applications and agreements concerning land being purchased under contract shall be signed by both the contract seller and the contract buyer. If the operator is applying, the contract buyer, the contract seller, and the operator must 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12.62(3)</w:t>
      </w:r>
      <w:r>
        <w:rPr>
          <w:rFonts w:ascii="Times New Roman" w:hAnsi="Times New Roman"/>
          <w:b w:val="false"/>
          <w:i w:val="false"/>
          <w:color w:val="000000"/>
          <w:sz w:val="22"/>
        </w:rPr>
        <w:t> </w:t>
      </w:r>
      <w:r>
        <w:rPr>
          <w:rFonts w:ascii="Times New Roman" w:hAnsi="Times New Roman"/>
          <w:b w:val="false"/>
          <w:i/>
          <w:color w:val="000000"/>
          <w:sz w:val="22"/>
        </w:rPr>
        <w:t xml:space="preserve">Power of attorney. </w:t>
      </w:r>
      <w:r>
        <w:rPr>
          <w:rFonts w:ascii="Times New Roman" w:hAnsi="Times New Roman"/>
          <w:b w:val="false"/>
          <w:i w:val="false"/>
          <w:color w:val="000000"/>
          <w:sz w:val="22"/>
        </w:rPr>
        <w:t>Applications and agreements may be signed by any person designated to represent the landowner or farm operator, provided the appropriate power of attorney has been filed with the district office. The power of attorney requirement can be met by submitting a notarized full power of attorney statement to the district office. In the case of estates and trusts, court documents designating the responsible person or administrator may be submitted to the district in lieu of the power of attorney.</w:t>
      </w:r>
    </w:p>
    <w:p>
      <w:pPr>
        <w:spacing w:before="0" w:after="0"/>
        <w:ind w:left="120"/>
        <w:jc w:val="both"/>
      </w:pPr>
      <w:r>
        <w:rPr>
          <w:rFonts w:ascii="Times New Roman" w:hAnsi="Times New Roman"/>
          <w:b/>
          <w:i w:val="false"/>
          <w:color w:val="000000"/>
          <w:sz w:val="22"/>
        </w:rPr>
        <w:t>27—12.63</w:t>
      </w:r>
      <w:r>
        <w:rPr>
          <w:rFonts w:ascii="Times New Roman" w:hAnsi="Times New Roman"/>
          <w:b/>
          <w:i w:val="false"/>
          <w:color w:val="000000"/>
          <w:sz w:val="22"/>
        </w:rPr>
        <w:t xml:space="preserve">(161C) </w:t>
      </w:r>
      <w:r>
        <w:rPr>
          <w:rFonts w:ascii="Times New Roman" w:hAnsi="Times New Roman"/>
          <w:b/>
          <w:i w:val="false"/>
          <w:color w:val="000000"/>
          <w:sz w:val="22"/>
        </w:rPr>
        <w:t xml:space="preserve">Eligibility for financial incentives.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12.63(1)</w:t>
      </w:r>
      <w:r>
        <w:rPr>
          <w:rFonts w:ascii="Times New Roman" w:hAnsi="Times New Roman"/>
          <w:b w:val="false"/>
          <w:i w:val="false"/>
          <w:color w:val="000000"/>
          <w:sz w:val="22"/>
        </w:rPr>
        <w:t> </w:t>
      </w:r>
      <w:r>
        <w:rPr>
          <w:rFonts w:ascii="Times New Roman" w:hAnsi="Times New Roman"/>
          <w:b w:val="false"/>
          <w:i/>
          <w:color w:val="000000"/>
          <w:sz w:val="22"/>
        </w:rPr>
        <w:t xml:space="preserve">District cooperator.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7/18/07</w:t>
      </w:r>
      <w:r>
        <w:rPr>
          <w:rFonts w:ascii="Times New Roman" w:hAnsi="Times New Roman"/>
          <w:b w:val="false"/>
          <w:i w:val="false"/>
          <w:color w:val="000000"/>
          <w:sz w:val="22"/>
        </w:rPr>
        <w:t>, effective 6/27/07.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12.63(2)</w:t>
      </w:r>
      <w:r>
        <w:rPr>
          <w:rFonts w:ascii="Times New Roman" w:hAnsi="Times New Roman"/>
          <w:b w:val="false"/>
          <w:i w:val="false"/>
          <w:color w:val="000000"/>
          <w:sz w:val="22"/>
        </w:rPr>
        <w:t> </w:t>
      </w:r>
      <w:r>
        <w:rPr>
          <w:rFonts w:ascii="Times New Roman" w:hAnsi="Times New Roman"/>
          <w:b w:val="false"/>
          <w:i/>
          <w:color w:val="000000"/>
          <w:sz w:val="22"/>
        </w:rPr>
        <w:t xml:space="preserve">Practices installed on adjoining public lands. </w:t>
      </w:r>
      <w:r>
        <w:rPr>
          <w:rFonts w:ascii="Times New Roman" w:hAnsi="Times New Roman"/>
          <w:b w:val="false"/>
          <w:i w:val="false"/>
          <w:color w:val="000000"/>
          <w:sz w:val="22"/>
        </w:rPr>
        <w:t>Where water protection practices which benefit adjoining private lands are installed on public lands and costs of the installation are to be shared by the parties, state water protection practices funds may be used to cost-share only the private landowner cost of the water protection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12.63(3)</w:t>
      </w:r>
      <w:r>
        <w:rPr>
          <w:rFonts w:ascii="Times New Roman" w:hAnsi="Times New Roman"/>
          <w:b w:val="false"/>
          <w:i w:val="false"/>
          <w:color w:val="000000"/>
          <w:sz w:val="22"/>
        </w:rPr>
        <w:t> </w:t>
      </w:r>
      <w:r>
        <w:rPr>
          <w:rFonts w:ascii="Times New Roman" w:hAnsi="Times New Roman"/>
          <w:b w:val="false"/>
          <w:i/>
          <w:color w:val="000000"/>
          <w:sz w:val="22"/>
        </w:rPr>
        <w:t xml:space="preserve">Ineligible lands.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Water protection practices funds shall not be used to reimburse other units of government for implementing soil and water conservation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Privately owned land not used for agricultural production shall not qualify for water protection practices funds. Windbreaks, streambank and shoreline protection, and stormwater quality best management practices established on privately owned land are eligible whether or not the land is in agricultural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Tracts of land enrolled in the United States Department of Agriculture’s Conservation Reserve Program (CRP) that have more than 90 days left on the contract, except for woodland establishment, management and protection practices, and native grass and forb establishment practices under rule </w:t>
      </w:r>
      <w:hyperlink r:id="rId10">
        <w:r>
          <w:rPr>
            <w:rStyle w:val="Hyperlink"/>
            <w:rFonts w:ascii="Times New Roman" w:hAnsi="Times New Roman"/>
            <w:b w:val="false"/>
            <w:i w:val="false"/>
            <w:color w:val="000000"/>
            <w:sz w:val="22"/>
          </w:rPr>
          <w:t>27—12.82</w:t>
        </w:r>
      </w:hyperlink>
      <w:r>
        <w:rPr>
          <w:rFonts w:ascii="Times New Roman" w:hAnsi="Times New Roman"/>
          <w:b w:val="false"/>
          <w:i w:val="false"/>
          <w:color w:val="000000"/>
          <w:sz w:val="22"/>
        </w:rPr>
        <w:t xml:space="preserve">(161C) shall not qualify.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12.63(4)</w:t>
      </w:r>
      <w:r>
        <w:rPr>
          <w:rFonts w:ascii="Times New Roman" w:hAnsi="Times New Roman"/>
          <w:b w:val="false"/>
          <w:i w:val="false"/>
          <w:color w:val="000000"/>
          <w:sz w:val="22"/>
        </w:rPr>
        <w:t> </w:t>
      </w:r>
      <w:r>
        <w:rPr>
          <w:rFonts w:ascii="Times New Roman" w:hAnsi="Times New Roman"/>
          <w:b w:val="false"/>
          <w:i/>
          <w:color w:val="000000"/>
          <w:sz w:val="22"/>
        </w:rPr>
        <w:t xml:space="preserve">District priorities. </w:t>
      </w:r>
      <w:r>
        <w:rPr>
          <w:rFonts w:ascii="Times New Roman" w:hAnsi="Times New Roman"/>
          <w:b w:val="false"/>
          <w:i w:val="false"/>
          <w:color w:val="000000"/>
          <w:sz w:val="22"/>
        </w:rPr>
        <w:t>Each application for water protection practices shall be evaluated under the priority system adopted by the district for disbursement of allocated funds. Soil and water conservation district commissioners shall give priority to applications for practices that implement their soil and water resource conservation plan. The priority system adopted by the district shall be made available for review at the district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8755B</w:t>
      </w:r>
      <w:r>
        <w:rPr>
          <w:rFonts w:ascii="Times New Roman" w:hAnsi="Times New Roman"/>
          <w:b w:val="false"/>
          <w:i w:val="false"/>
          <w:color w:val="000000"/>
          <w:sz w:val="16"/>
        </w:rPr>
        <w:t>, IAB 5/19/10,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0737C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3244C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27—12.64</w:t>
      </w:r>
      <w:r>
        <w:rPr>
          <w:rFonts w:ascii="Times New Roman" w:hAnsi="Times New Roman"/>
          <w:b w:val="false"/>
          <w:i w:val="false"/>
          <w:color w:val="000000"/>
          <w:sz w:val="22"/>
        </w:rPr>
        <w:t xml:space="preserve"> to </w:t>
      </w:r>
      <w:r>
        <w:rPr>
          <w:rFonts w:ascii="Times New Roman" w:hAnsi="Times New Roman"/>
          <w:b/>
          <w:i w:val="false"/>
          <w:color w:val="000000"/>
          <w:sz w:val="22"/>
        </w:rPr>
        <w:t>12.69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7</w:t>
      </w:r>
    </w:p>
    <w:p>
      <w:pPr>
        <w:spacing w:before="210" w:after="0"/>
        <w:ind w:left="120"/>
        <w:jc w:val="both"/>
      </w:pPr>
      <w:r>
        <w:rPr>
          <w:rFonts w:ascii="Times New Roman" w:hAnsi="Times New Roman"/>
          <w:b/>
          <w:i w:val="false"/>
          <w:color w:val="000000"/>
          <w:sz w:val="22"/>
        </w:rPr>
        <w:t>27—12.70</w:t>
      </w:r>
      <w:r>
        <w:rPr>
          <w:rFonts w:ascii="Times New Roman" w:hAnsi="Times New Roman"/>
          <w:b/>
          <w:i w:val="false"/>
          <w:color w:val="000000"/>
          <w:sz w:val="22"/>
        </w:rPr>
        <w:t xml:space="preserve">(161C) </w:t>
      </w:r>
      <w:r>
        <w:rPr>
          <w:rFonts w:ascii="Times New Roman" w:hAnsi="Times New Roman"/>
          <w:b/>
          <w:i w:val="false"/>
          <w:color w:val="000000"/>
          <w:sz w:val="22"/>
        </w:rPr>
        <w:t xml:space="preserve">Water protection practices. </w:t>
      </w:r>
      <w:r>
        <w:rPr>
          <w:rFonts w:ascii="Times New Roman" w:hAnsi="Times New Roman"/>
          <w:b w:val="false"/>
          <w:i w:val="false"/>
          <w:color w:val="000000"/>
          <w:sz w:val="22"/>
        </w:rPr>
        <w:t xml:space="preserve">The purpose of this part is to establish the general conditions, eligible practices, specifications, and cost-share rates for the installation of water protection practices authorized in Iowa Code chapter </w:t>
      </w:r>
      <w:hyperlink r:id="rId11">
        <w:r>
          <w:rPr>
            <w:rStyle w:val="Hyperlink"/>
            <w:rFonts w:ascii="Times New Roman" w:hAnsi="Times New Roman"/>
            <w:b w:val="false"/>
            <w:i w:val="false"/>
            <w:color w:val="000000"/>
            <w:sz w:val="22"/>
          </w:rPr>
          <w:t>161C</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27—12.71</w:t>
      </w:r>
      <w:r>
        <w:rPr>
          <w:rFonts w:ascii="Times New Roman" w:hAnsi="Times New Roman"/>
          <w:b/>
          <w:i w:val="false"/>
          <w:color w:val="000000"/>
          <w:sz w:val="22"/>
        </w:rPr>
        <w:t xml:space="preserve">(161C) </w:t>
      </w:r>
      <w:r>
        <w:rPr>
          <w:rFonts w:ascii="Times New Roman" w:hAnsi="Times New Roman"/>
          <w:b/>
          <w:i w:val="false"/>
          <w:color w:val="000000"/>
          <w:sz w:val="22"/>
        </w:rPr>
        <w:t xml:space="preserve">General conditions. </w:t>
      </w:r>
      <w:r>
        <w:rPr>
          <w:rFonts w:ascii="Times New Roman" w:hAnsi="Times New Roman"/>
          <w:b w:val="false"/>
          <w:i w:val="false"/>
          <w:color w:val="000000"/>
          <w:sz w:val="22"/>
        </w:rPr>
        <w:t>The following general conditions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12.71(1)</w:t>
      </w:r>
      <w:r>
        <w:rPr>
          <w:rFonts w:ascii="Times New Roman" w:hAnsi="Times New Roman"/>
          <w:b w:val="false"/>
          <w:i w:val="false"/>
          <w:color w:val="000000"/>
          <w:sz w:val="22"/>
        </w:rPr>
        <w:t> </w:t>
      </w:r>
      <w:r>
        <w:rPr>
          <w:rFonts w:ascii="Times New Roman" w:hAnsi="Times New Roman"/>
          <w:b w:val="false"/>
          <w:i/>
          <w:color w:val="000000"/>
          <w:sz w:val="22"/>
        </w:rPr>
        <w:t xml:space="preserve">Technician certification. </w:t>
      </w:r>
      <w:r>
        <w:rPr>
          <w:rFonts w:ascii="Times New Roman" w:hAnsi="Times New Roman"/>
          <w:b w:val="false"/>
          <w:i w:val="false"/>
          <w:color w:val="000000"/>
          <w:sz w:val="22"/>
        </w:rPr>
        <w:t>The designated water protection practices shall not be funded unless the technician has inspected the site and has determined that such practice(s) is needed to protect water quality.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12.71(2)</w:t>
      </w:r>
      <w:r>
        <w:rPr>
          <w:rFonts w:ascii="Times New Roman" w:hAnsi="Times New Roman"/>
          <w:b w:val="false"/>
          <w:i w:val="false"/>
          <w:color w:val="000000"/>
          <w:sz w:val="22"/>
        </w:rPr>
        <w:t> </w:t>
      </w:r>
      <w:r>
        <w:rPr>
          <w:rFonts w:ascii="Times New Roman" w:hAnsi="Times New Roman"/>
          <w:b w:val="false"/>
          <w:i/>
          <w:color w:val="000000"/>
          <w:sz w:val="22"/>
        </w:rPr>
        <w:t xml:space="preserve">Limitation of reimbursable cost of practices. </w:t>
      </w:r>
      <w:r>
        <w:rPr>
          <w:rFonts w:ascii="Times New Roman" w:hAnsi="Times New Roman"/>
          <w:b w:val="false"/>
          <w:i w:val="false"/>
          <w:color w:val="000000"/>
          <w:sz w:val="22"/>
        </w:rPr>
        <w:t>Overbuilding or other practice modifications which exceed the minimum requirements of the specification shall be permitted, if approved by the technician. Any additional costs resulting from such overbuilding or exceeding of the minimum specifications shall not be cost shared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12.71(3)</w:t>
      </w:r>
      <w:r>
        <w:rPr>
          <w:rFonts w:ascii="Times New Roman" w:hAnsi="Times New Roman"/>
          <w:b w:val="false"/>
          <w:i w:val="false"/>
          <w:color w:val="000000"/>
          <w:sz w:val="22"/>
        </w:rPr>
        <w:t> </w:t>
      </w:r>
      <w:r>
        <w:rPr>
          <w:rFonts w:ascii="Times New Roman" w:hAnsi="Times New Roman"/>
          <w:b w:val="false"/>
          <w:i/>
          <w:color w:val="000000"/>
          <w:sz w:val="22"/>
        </w:rPr>
        <w:t xml:space="preserve">Materials. </w:t>
      </w:r>
      <w:r>
        <w:rPr>
          <w:rFonts w:ascii="Times New Roman" w:hAnsi="Times New Roman"/>
          <w:b w:val="false"/>
          <w:i w:val="false"/>
          <w:color w:val="000000"/>
          <w:sz w:val="22"/>
        </w:rPr>
        <w:t>Projects funded with water protection funds will utilize only new materials or used materials that meet or exceed design standards and have a life expectancy of 20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12.71(4)</w:t>
      </w:r>
      <w:r>
        <w:rPr>
          <w:rFonts w:ascii="Times New Roman" w:hAnsi="Times New Roman"/>
          <w:b w:val="false"/>
          <w:i w:val="false"/>
          <w:color w:val="000000"/>
          <w:sz w:val="22"/>
        </w:rPr>
        <w:t> </w:t>
      </w:r>
      <w:r>
        <w:rPr>
          <w:rFonts w:ascii="Times New Roman" w:hAnsi="Times New Roman"/>
          <w:b w:val="false"/>
          <w:i/>
          <w:color w:val="000000"/>
          <w:sz w:val="22"/>
        </w:rPr>
        <w:t xml:space="preserve">Repair or maintenance. </w:t>
      </w:r>
      <w:r>
        <w:rPr>
          <w:rFonts w:ascii="Times New Roman" w:hAnsi="Times New Roman"/>
          <w:b w:val="false"/>
          <w:i w:val="false"/>
          <w:color w:val="000000"/>
          <w:sz w:val="22"/>
        </w:rPr>
        <w:t>Repair or maintenance of existing practices is not eligible for funding.</w:t>
      </w:r>
    </w:p>
    <w:p>
      <w:pPr>
        <w:spacing w:before="0" w:after="0"/>
        <w:ind w:left="120"/>
        <w:jc w:val="both"/>
      </w:pPr>
      <w:r>
        <w:rPr>
          <w:rFonts w:ascii="Times New Roman" w:hAnsi="Times New Roman"/>
          <w:b/>
          <w:i w:val="false"/>
          <w:color w:val="000000"/>
          <w:sz w:val="22"/>
        </w:rPr>
        <w:t>27—12.72</w:t>
      </w:r>
      <w:r>
        <w:rPr>
          <w:rFonts w:ascii="Times New Roman" w:hAnsi="Times New Roman"/>
          <w:b/>
          <w:i w:val="false"/>
          <w:color w:val="000000"/>
          <w:sz w:val="22"/>
        </w:rPr>
        <w:t xml:space="preserve">(161C) </w:t>
      </w:r>
      <w:r>
        <w:rPr>
          <w:rFonts w:ascii="Times New Roman" w:hAnsi="Times New Roman"/>
          <w:b/>
          <w:i w:val="false"/>
          <w:color w:val="000000"/>
          <w:sz w:val="22"/>
        </w:rPr>
        <w:t xml:space="preserve">Eligible practices. </w:t>
      </w:r>
      <w:r>
        <w:rPr>
          <w:rFonts w:ascii="Times New Roman" w:hAnsi="Times New Roman"/>
          <w:b w:val="false"/>
          <w:i w:val="false"/>
          <w:color w:val="000000"/>
          <w:sz w:val="22"/>
        </w:rPr>
        <w:t>Practices listed in this rule are eligible for water protection practices fund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12.72(1)</w:t>
      </w:r>
      <w:r>
        <w:rPr>
          <w:rFonts w:ascii="Times New Roman" w:hAnsi="Times New Roman"/>
          <w:b w:val="false"/>
          <w:i w:val="false"/>
          <w:color w:val="000000"/>
          <w:sz w:val="22"/>
        </w:rPr>
        <w:t> </w:t>
      </w:r>
      <w:r>
        <w:rPr>
          <w:rFonts w:ascii="Times New Roman" w:hAnsi="Times New Roman"/>
          <w:b w:val="false"/>
          <w:i w:val="false"/>
          <w:color w:val="000000"/>
          <w:sz w:val="22"/>
        </w:rPr>
        <w:t>Critical area planting.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12.72(2)</w:t>
      </w:r>
      <w:r>
        <w:rPr>
          <w:rFonts w:ascii="Times New Roman" w:hAnsi="Times New Roman"/>
          <w:b w:val="false"/>
          <w:i w:val="false"/>
          <w:color w:val="000000"/>
          <w:sz w:val="22"/>
        </w:rPr>
        <w:t> </w:t>
      </w:r>
      <w:r>
        <w:rPr>
          <w:rFonts w:ascii="Times New Roman" w:hAnsi="Times New Roman"/>
          <w:b w:val="false"/>
          <w:i w:val="false"/>
          <w:color w:val="000000"/>
          <w:sz w:val="22"/>
        </w:rPr>
        <w:t>Contour buffer strips. The practice includes science-based trials of row crops integrated with prairie strips (STRIPS) planted on contour.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12.72(3)</w:t>
      </w:r>
      <w:r>
        <w:rPr>
          <w:rFonts w:ascii="Times New Roman" w:hAnsi="Times New Roman"/>
          <w:b w:val="false"/>
          <w:i w:val="false"/>
          <w:color w:val="000000"/>
          <w:sz w:val="22"/>
        </w:rPr>
        <w:t> </w:t>
      </w:r>
      <w:r>
        <w:rPr>
          <w:rFonts w:ascii="Times New Roman" w:hAnsi="Times New Roman"/>
          <w:b w:val="false"/>
          <w:i w:val="false"/>
          <w:color w:val="000000"/>
          <w:sz w:val="22"/>
        </w:rPr>
        <w:t>Field border.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12.72(4)</w:t>
      </w:r>
      <w:r>
        <w:rPr>
          <w:rFonts w:ascii="Times New Roman" w:hAnsi="Times New Roman"/>
          <w:b w:val="false"/>
          <w:i w:val="false"/>
          <w:color w:val="000000"/>
          <w:sz w:val="22"/>
        </w:rPr>
        <w:t> </w:t>
      </w:r>
      <w:r>
        <w:rPr>
          <w:rFonts w:ascii="Times New Roman" w:hAnsi="Times New Roman"/>
          <w:b w:val="false"/>
          <w:i w:val="false"/>
          <w:color w:val="000000"/>
          <w:sz w:val="22"/>
        </w:rPr>
        <w:t>Filter strips. The practice includes science-based trials of row crops integrated with prairie strips (STRIPS) planted at the foot slope.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12.72(5)</w:t>
      </w:r>
      <w:r>
        <w:rPr>
          <w:rFonts w:ascii="Times New Roman" w:hAnsi="Times New Roman"/>
          <w:b w:val="false"/>
          <w:i w:val="false"/>
          <w:color w:val="000000"/>
          <w:sz w:val="22"/>
        </w:rPr>
        <w:t> </w:t>
      </w:r>
      <w:r>
        <w:rPr>
          <w:rFonts w:ascii="Times New Roman" w:hAnsi="Times New Roman"/>
          <w:b w:val="false"/>
          <w:i w:val="false"/>
          <w:color w:val="000000"/>
          <w:sz w:val="22"/>
        </w:rPr>
        <w:t>Pasture and hay planting. The practice must include the conversion of land from row crop production to a permanent vegetative cover to control excessive water erosion.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12.72(6)</w:t>
      </w:r>
      <w:r>
        <w:rPr>
          <w:rFonts w:ascii="Times New Roman" w:hAnsi="Times New Roman"/>
          <w:b w:val="false"/>
          <w:i w:val="false"/>
          <w:color w:val="000000"/>
          <w:sz w:val="22"/>
        </w:rPr>
        <w:t> </w:t>
      </w:r>
      <w:r>
        <w:rPr>
          <w:rFonts w:ascii="Times New Roman" w:hAnsi="Times New Roman"/>
          <w:b w:val="false"/>
          <w:i w:val="false"/>
          <w:color w:val="000000"/>
          <w:sz w:val="22"/>
        </w:rPr>
        <w:t>Constructed wetlands. Land enrolled in the Conservation Reserve Program, or other similar programs, is eligible, if this practice is not an allowable practice under that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12.72(7)</w:t>
      </w:r>
      <w:r>
        <w:rPr>
          <w:rFonts w:ascii="Times New Roman" w:hAnsi="Times New Roman"/>
          <w:b w:val="false"/>
          <w:i w:val="false"/>
          <w:color w:val="000000"/>
          <w:sz w:val="22"/>
        </w:rPr>
        <w:t> </w:t>
      </w:r>
      <w:r>
        <w:rPr>
          <w:rFonts w:ascii="Times New Roman" w:hAnsi="Times New Roman"/>
          <w:b w:val="false"/>
          <w:i w:val="false"/>
          <w:color w:val="000000"/>
          <w:sz w:val="22"/>
        </w:rPr>
        <w:t>Wetland restoration. Land enrolled in the Conservation Reserve Program, or other similar programs, is eligible, if this practice is not an allowable practice under that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12.72(8)</w:t>
      </w:r>
      <w:r>
        <w:rPr>
          <w:rFonts w:ascii="Times New Roman" w:hAnsi="Times New Roman"/>
          <w:b w:val="false"/>
          <w:i w:val="false"/>
          <w:color w:val="000000"/>
          <w:sz w:val="22"/>
        </w:rPr>
        <w:t> </w:t>
      </w:r>
      <w:r>
        <w:rPr>
          <w:rFonts w:ascii="Times New Roman" w:hAnsi="Times New Roman"/>
          <w:b w:val="false"/>
          <w:i w:val="false"/>
          <w:color w:val="000000"/>
          <w:sz w:val="22"/>
        </w:rPr>
        <w:t>Streambank and shoreline protection. The practice must be bioengineered using combinations of stream-side plantings or trees, other vegetation, structural practices such as modification of slopes, and installation of reinforcing materials and in-stream structures. Land enrolled in the Conservation Reserve Program, or other similar programs, is eligible, if this practice is not an allowable practice under that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12.72(9)</w:t>
      </w:r>
      <w:r>
        <w:rPr>
          <w:rFonts w:ascii="Times New Roman" w:hAnsi="Times New Roman"/>
          <w:b w:val="false"/>
          <w:i w:val="false"/>
          <w:color w:val="000000"/>
          <w:sz w:val="22"/>
        </w:rPr>
        <w:t> </w:t>
      </w:r>
      <w:r>
        <w:rPr>
          <w:rFonts w:ascii="Times New Roman" w:hAnsi="Times New Roman"/>
          <w:b w:val="false"/>
          <w:i w:val="false"/>
          <w:color w:val="000000"/>
          <w:sz w:val="22"/>
        </w:rPr>
        <w:t>Stormwater quality best management practices (BMPs). A technique, measure, or structural control that is used for a given set of conditions to manage the quantity and improve the quality of stormwater runoff in the most cost-effective manner. BMPs can be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Nonstructural BMPs, which include a range of pollution prevention, education, or institutional management and development practices designed to limit the conversion of rainfall to runoff and to prevent pollutants from entering runoff at the source of runoff generation;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Structural BMPs, which are engineered and constructed systems that are used to treat the stormwater at either the point of generation or the point of discharge to either the storm sewer system or to receiving waters (e.g., detention ponds or constructed wetlands).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12.72(10)</w:t>
      </w:r>
      <w:r>
        <w:rPr>
          <w:rFonts w:ascii="Times New Roman" w:hAnsi="Times New Roman"/>
          <w:b w:val="false"/>
          <w:i w:val="false"/>
          <w:color w:val="000000"/>
          <w:sz w:val="22"/>
        </w:rPr>
        <w:t> </w:t>
      </w:r>
      <w:r>
        <w:rPr>
          <w:rFonts w:ascii="Times New Roman" w:hAnsi="Times New Roman"/>
          <w:b w:val="false"/>
          <w:i w:val="false"/>
          <w:color w:val="000000"/>
          <w:sz w:val="22"/>
        </w:rPr>
        <w:t>Access control. The practice involves fencing an area to exclude livestock from intermittent streams (defined on U.S. Geological Survey topographic maps as “3 dot” blue-line streams) or larger streams. Eligibility for cost-share assistance extends only to fencing required to implement this practice, but does not extend to fences along roads or land boundaries.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8755B</w:t>
      </w:r>
      <w:r>
        <w:rPr>
          <w:rFonts w:ascii="Times New Roman" w:hAnsi="Times New Roman"/>
          <w:b w:val="false"/>
          <w:i w:val="false"/>
          <w:color w:val="000000"/>
          <w:sz w:val="16"/>
        </w:rPr>
        <w:t>, IAB 5/19/10,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0737C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3244C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27—12.73</w:t>
      </w:r>
      <w:r>
        <w:rPr>
          <w:rFonts w:ascii="Times New Roman" w:hAnsi="Times New Roman"/>
          <w:b/>
          <w:i w:val="false"/>
          <w:color w:val="000000"/>
          <w:sz w:val="22"/>
        </w:rPr>
        <w:t xml:space="preserve">(161C) </w:t>
      </w:r>
      <w:r>
        <w:rPr>
          <w:rFonts w:ascii="Times New Roman" w:hAnsi="Times New Roman"/>
          <w:b/>
          <w:i w:val="false"/>
          <w:color w:val="000000"/>
          <w:sz w:val="22"/>
        </w:rPr>
        <w:t xml:space="preserve">Eligible practices for priority water resource protection. </w:t>
      </w:r>
      <w:r>
        <w:rPr>
          <w:rFonts w:ascii="Times New Roman" w:hAnsi="Times New Roman"/>
          <w:b w:val="false"/>
          <w:i w:val="false"/>
          <w:color w:val="000000"/>
          <w:sz w:val="22"/>
        </w:rPr>
        <w:t xml:space="preserve">Practices listed in this rule are eligible for water protection practice fund reimbursement only in those areas or instances approved in rule </w:t>
      </w:r>
      <w:hyperlink r:id="rId12">
        <w:r>
          <w:rPr>
            <w:rStyle w:val="Hyperlink"/>
            <w:rFonts w:ascii="Times New Roman" w:hAnsi="Times New Roman"/>
            <w:b w:val="false"/>
            <w:i w:val="false"/>
            <w:color w:val="000000"/>
            <w:sz w:val="22"/>
          </w:rPr>
          <w:t>27—12.75</w:t>
        </w:r>
      </w:hyperlink>
      <w:r>
        <w:rPr>
          <w:rFonts w:ascii="Times New Roman" w:hAnsi="Times New Roman"/>
          <w:b w:val="false"/>
          <w:i w:val="false"/>
          <w:color w:val="000000"/>
          <w:sz w:val="22"/>
        </w:rPr>
        <w:t>(161C).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12.73(1)</w:t>
      </w:r>
      <w:r>
        <w:rPr>
          <w:rFonts w:ascii="Times New Roman" w:hAnsi="Times New Roman"/>
          <w:b w:val="false"/>
          <w:i w:val="false"/>
          <w:color w:val="000000"/>
          <w:sz w:val="22"/>
        </w:rPr>
        <w:t> </w:t>
      </w:r>
      <w:r>
        <w:rPr>
          <w:rFonts w:ascii="Times New Roman" w:hAnsi="Times New Roman"/>
          <w:b w:val="false"/>
          <w:i w:val="false"/>
          <w:color w:val="000000"/>
          <w:sz w:val="22"/>
        </w:rPr>
        <w:t>Grassed waterway.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12.73(2)</w:t>
      </w:r>
      <w:r>
        <w:rPr>
          <w:rFonts w:ascii="Times New Roman" w:hAnsi="Times New Roman"/>
          <w:b w:val="false"/>
          <w:i w:val="false"/>
          <w:color w:val="000000"/>
          <w:sz w:val="22"/>
        </w:rPr>
        <w:t> </w:t>
      </w:r>
      <w:r>
        <w:rPr>
          <w:rFonts w:ascii="Times New Roman" w:hAnsi="Times New Roman"/>
          <w:b w:val="false"/>
          <w:i w:val="false"/>
          <w:color w:val="000000"/>
          <w:sz w:val="22"/>
        </w:rPr>
        <w:t>Grade stabilization structure.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12.73(3)</w:t>
      </w:r>
      <w:r>
        <w:rPr>
          <w:rFonts w:ascii="Times New Roman" w:hAnsi="Times New Roman"/>
          <w:b w:val="false"/>
          <w:i w:val="false"/>
          <w:color w:val="000000"/>
          <w:sz w:val="22"/>
        </w:rPr>
        <w:t> </w:t>
      </w:r>
      <w:r>
        <w:rPr>
          <w:rFonts w:ascii="Times New Roman" w:hAnsi="Times New Roman"/>
          <w:b w:val="false"/>
          <w:i w:val="false"/>
          <w:color w:val="000000"/>
          <w:sz w:val="22"/>
        </w:rPr>
        <w:t>Terrace.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12.73(4)</w:t>
      </w:r>
      <w:r>
        <w:rPr>
          <w:rFonts w:ascii="Times New Roman" w:hAnsi="Times New Roman"/>
          <w:b w:val="false"/>
          <w:i w:val="false"/>
          <w:color w:val="000000"/>
          <w:sz w:val="22"/>
        </w:rPr>
        <w:t> </w:t>
      </w:r>
      <w:r>
        <w:rPr>
          <w:rFonts w:ascii="Times New Roman" w:hAnsi="Times New Roman"/>
          <w:b w:val="false"/>
          <w:i w:val="false"/>
          <w:color w:val="000000"/>
          <w:sz w:val="22"/>
        </w:rPr>
        <w:t>Water and sediment control basin.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12.73(5)</w:t>
      </w:r>
      <w:r>
        <w:rPr>
          <w:rFonts w:ascii="Times New Roman" w:hAnsi="Times New Roman"/>
          <w:b w:val="false"/>
          <w:i w:val="false"/>
          <w:color w:val="000000"/>
          <w:sz w:val="22"/>
        </w:rPr>
        <w:t> </w:t>
      </w:r>
      <w:r>
        <w:rPr>
          <w:rFonts w:ascii="Times New Roman" w:hAnsi="Times New Roman"/>
          <w:b w:val="false"/>
          <w:i w:val="false"/>
          <w:color w:val="000000"/>
          <w:sz w:val="22"/>
        </w:rPr>
        <w:t>Diversion.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12.73(6)</w:t>
      </w:r>
      <w:r>
        <w:rPr>
          <w:rFonts w:ascii="Times New Roman" w:hAnsi="Times New Roman"/>
          <w:b w:val="false"/>
          <w:i w:val="false"/>
          <w:color w:val="000000"/>
          <w:sz w:val="22"/>
        </w:rPr>
        <w:t> </w:t>
      </w:r>
      <w:r>
        <w:rPr>
          <w:rFonts w:ascii="Times New Roman" w:hAnsi="Times New Roman"/>
          <w:b w:val="false"/>
          <w:i w:val="false"/>
          <w:color w:val="000000"/>
          <w:sz w:val="22"/>
        </w:rPr>
        <w:t>Waste storage facility. Cost-sharing under this practice is not authorized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Portable pumps and pumping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Waste disposal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Building, modification of a building, that portion of the animal waste structure that serves as part of the building, or its foundation.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That portion of the cost of animal waste control structures attributed to expansion of an animal waste management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8755B</w:t>
      </w:r>
      <w:r>
        <w:rPr>
          <w:rFonts w:ascii="Times New Roman" w:hAnsi="Times New Roman"/>
          <w:b w:val="false"/>
          <w:i w:val="false"/>
          <w:color w:val="000000"/>
          <w:sz w:val="16"/>
        </w:rPr>
        <w:t>, IAB 5/19/10,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0737C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27—12.74</w:t>
      </w:r>
      <w:r>
        <w:rPr>
          <w:rFonts w:ascii="Times New Roman" w:hAnsi="Times New Roman"/>
          <w:b/>
          <w:i w:val="false"/>
          <w:color w:val="000000"/>
          <w:sz w:val="22"/>
        </w:rPr>
        <w:t xml:space="preserve">(161C) </w:t>
      </w:r>
      <w:r>
        <w:rPr>
          <w:rFonts w:ascii="Times New Roman" w:hAnsi="Times New Roman"/>
          <w:b/>
          <w:i w:val="false"/>
          <w:color w:val="000000"/>
          <w:sz w:val="22"/>
        </w:rPr>
        <w:t xml:space="preserve">Agricultural drainage well closure. </w:t>
      </w:r>
      <w:r>
        <w:rPr>
          <w:rFonts w:ascii="Times New Roman" w:hAnsi="Times New Roman"/>
          <w:b w:val="false"/>
          <w:i w:val="false"/>
          <w:color w:val="000000"/>
          <w:sz w:val="22"/>
        </w:rPr>
        <w:t xml:space="preserve">Practices listed in this rule are eligible for water protection practice fund reimbursement where installation of the practice is consistent with current drainage law of the state of Iowa. This practice is intended to assist in the voluntary closure of agricultural drainage wells registered with the department of natural resources prior to September 30, 1988. It is not intended to be a substitute for future agricultural drainage well assistance programs authorized in Iowa Code section </w:t>
      </w:r>
      <w:hyperlink r:id="rId13">
        <w:r>
          <w:rPr>
            <w:rStyle w:val="Hyperlink"/>
            <w:rFonts w:ascii="Times New Roman" w:hAnsi="Times New Roman"/>
            <w:b w:val="false"/>
            <w:i w:val="false"/>
            <w:color w:val="000000"/>
            <w:sz w:val="22"/>
          </w:rPr>
          <w:t>159.29</w:t>
        </w:r>
      </w:hyperlink>
      <w:r>
        <w:rPr>
          <w:rFonts w:ascii="Times New Roman" w:hAnsi="Times New Roman"/>
          <w:b w:val="false"/>
          <w:i w:val="false"/>
          <w:color w:val="000000"/>
          <w:sz w:val="22"/>
        </w:rPr>
        <w:t xml:space="preserve"> that will be developed in conjunction with the Iowa department of agriculture and land stewardship’s agricultural drainage well research and demonstration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12.74(1)</w:t>
      </w:r>
      <w:r>
        <w:rPr>
          <w:rFonts w:ascii="Times New Roman" w:hAnsi="Times New Roman"/>
          <w:b w:val="false"/>
          <w:i w:val="false"/>
          <w:color w:val="000000"/>
          <w:sz w:val="22"/>
        </w:rPr>
        <w:t> </w:t>
      </w:r>
      <w:r>
        <w:rPr>
          <w:rFonts w:ascii="Times New Roman" w:hAnsi="Times New Roman"/>
          <w:b w:val="false"/>
          <w:i/>
          <w:color w:val="000000"/>
          <w:sz w:val="22"/>
        </w:rPr>
        <w:t xml:space="preserve">Eligible practices.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Agricultural drainage well plugging and cistern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Tile outlet from plugged agricultural drainage well to a suitable, legal outlet.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12.74(2)</w:t>
      </w:r>
      <w:r>
        <w:rPr>
          <w:rFonts w:ascii="Times New Roman" w:hAnsi="Times New Roman"/>
          <w:b w:val="false"/>
          <w:i w:val="false"/>
          <w:color w:val="000000"/>
          <w:sz w:val="22"/>
        </w:rPr>
        <w:t> </w:t>
      </w:r>
      <w:r>
        <w:rPr>
          <w:rFonts w:ascii="Times New Roman" w:hAnsi="Times New Roman"/>
          <w:b w:val="false"/>
          <w:i/>
          <w:color w:val="000000"/>
          <w:sz w:val="22"/>
        </w:rPr>
        <w:t xml:space="preserve">Implementation of practice. </w:t>
      </w:r>
      <w:r>
        <w:rPr>
          <w:rFonts w:ascii="Times New Roman" w:hAnsi="Times New Roman"/>
          <w:b w:val="false"/>
          <w:i w:val="false"/>
          <w:color w:val="000000"/>
          <w:sz w:val="22"/>
        </w:rPr>
        <w:t>This practice shall not be used to provide outlet(s) for previously undrained wetland(s) as defined and classified under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12.74(3)</w:t>
      </w:r>
      <w:r>
        <w:rPr>
          <w:rFonts w:ascii="Times New Roman" w:hAnsi="Times New Roman"/>
          <w:b w:val="false"/>
          <w:i w:val="false"/>
          <w:color w:val="000000"/>
          <w:sz w:val="22"/>
        </w:rPr>
        <w:t> </w:t>
      </w:r>
      <w:r>
        <w:rPr>
          <w:rFonts w:ascii="Times New Roman" w:hAnsi="Times New Roman"/>
          <w:b w:val="false"/>
          <w:i/>
          <w:color w:val="000000"/>
          <w:sz w:val="22"/>
        </w:rPr>
        <w:t xml:space="preserve">Outlets with excess capacity. </w:t>
      </w:r>
      <w:r>
        <w:rPr>
          <w:rFonts w:ascii="Times New Roman" w:hAnsi="Times New Roman"/>
          <w:b w:val="false"/>
          <w:i w:val="false"/>
          <w:color w:val="000000"/>
          <w:sz w:val="22"/>
        </w:rPr>
        <w:t>Tile outlets which exceed the minimum capacity required to provide one-half inch drainage coefficient to the area originally served by the drainage well shall be permitted, if approved by the technician. Any additional cost resulting from providing such excess capacity shall not be cost-shared by the state.</w:t>
      </w:r>
    </w:p>
    <w:p>
      <w:pPr>
        <w:spacing w:before="0" w:after="0"/>
        <w:ind w:left="120"/>
        <w:jc w:val="both"/>
      </w:pPr>
      <w:r>
        <w:rPr>
          <w:rFonts w:ascii="Times New Roman" w:hAnsi="Times New Roman"/>
          <w:b/>
          <w:i w:val="false"/>
          <w:color w:val="000000"/>
          <w:sz w:val="22"/>
        </w:rPr>
        <w:t>27—12.75</w:t>
      </w:r>
      <w:r>
        <w:rPr>
          <w:rFonts w:ascii="Times New Roman" w:hAnsi="Times New Roman"/>
          <w:b/>
          <w:i w:val="false"/>
          <w:color w:val="000000"/>
          <w:sz w:val="22"/>
        </w:rPr>
        <w:t xml:space="preserve">(161C) </w:t>
      </w:r>
      <w:r>
        <w:rPr>
          <w:rFonts w:ascii="Times New Roman" w:hAnsi="Times New Roman"/>
          <w:b/>
          <w:i w:val="false"/>
          <w:color w:val="000000"/>
          <w:sz w:val="22"/>
        </w:rPr>
        <w:t xml:space="preserve">Priority watersheds and water quality problems. </w:t>
      </w:r>
      <w:r>
        <w:rPr>
          <w:rFonts w:ascii="Times New Roman" w:hAnsi="Times New Roman"/>
          <w:b w:val="false"/>
          <w:i w:val="false"/>
          <w:color w:val="000000"/>
          <w:sz w:val="22"/>
        </w:rPr>
        <w:t xml:space="preserve">Practices listed in rule </w:t>
      </w:r>
      <w:hyperlink r:id="rId14">
        <w:r>
          <w:rPr>
            <w:rStyle w:val="Hyperlink"/>
            <w:rFonts w:ascii="Times New Roman" w:hAnsi="Times New Roman"/>
            <w:b w:val="false"/>
            <w:i w:val="false"/>
            <w:color w:val="000000"/>
            <w:sz w:val="22"/>
          </w:rPr>
          <w:t>27—12.73</w:t>
        </w:r>
      </w:hyperlink>
      <w:r>
        <w:rPr>
          <w:rFonts w:ascii="Times New Roman" w:hAnsi="Times New Roman"/>
          <w:b w:val="false"/>
          <w:i w:val="false"/>
          <w:color w:val="000000"/>
          <w:sz w:val="22"/>
        </w:rPr>
        <w:t>(161C) will be eligible for landowner reimbursement from water protection practices funds only for watersheds and water quality problems designated by soil and water conservation district commissioners and approved by the state soil conservation and water quality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12.75(1)</w:t>
      </w:r>
      <w:r>
        <w:rPr>
          <w:rFonts w:ascii="Times New Roman" w:hAnsi="Times New Roman"/>
          <w:b w:val="false"/>
          <w:i w:val="false"/>
          <w:color w:val="000000"/>
          <w:sz w:val="22"/>
        </w:rPr>
        <w:t> </w:t>
      </w:r>
      <w:r>
        <w:rPr>
          <w:rFonts w:ascii="Times New Roman" w:hAnsi="Times New Roman"/>
          <w:b w:val="false"/>
          <w:i/>
          <w:color w:val="000000"/>
          <w:sz w:val="22"/>
        </w:rPr>
        <w:t xml:space="preserve">District designation. </w:t>
      </w:r>
      <w:r>
        <w:rPr>
          <w:rFonts w:ascii="Times New Roman" w:hAnsi="Times New Roman"/>
          <w:b w:val="false"/>
          <w:i w:val="false"/>
          <w:color w:val="000000"/>
          <w:sz w:val="22"/>
        </w:rPr>
        <w:t xml:space="preserve">Districts shall submit to the division the description of high priority watershed(s) or water quality problems within their district to be designated as eligible for practices listed in rule </w:t>
      </w:r>
      <w:hyperlink r:id="rId15">
        <w:r>
          <w:rPr>
            <w:rStyle w:val="Hyperlink"/>
            <w:rFonts w:ascii="Times New Roman" w:hAnsi="Times New Roman"/>
            <w:b w:val="false"/>
            <w:i w:val="false"/>
            <w:color w:val="000000"/>
            <w:sz w:val="22"/>
          </w:rPr>
          <w:t>27—12.73</w:t>
        </w:r>
      </w:hyperlink>
      <w:r>
        <w:rPr>
          <w:rFonts w:ascii="Times New Roman" w:hAnsi="Times New Roman"/>
          <w:b w:val="false"/>
          <w:i w:val="false"/>
          <w:color w:val="000000"/>
          <w:sz w:val="22"/>
        </w:rPr>
        <w:t>(161C).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12.75(2)</w:t>
      </w:r>
      <w:r>
        <w:rPr>
          <w:rFonts w:ascii="Times New Roman" w:hAnsi="Times New Roman"/>
          <w:b w:val="false"/>
          <w:i w:val="false"/>
          <w:color w:val="000000"/>
          <w:sz w:val="22"/>
        </w:rPr>
        <w:t> </w:t>
      </w:r>
      <w:r>
        <w:rPr>
          <w:rFonts w:ascii="Times New Roman" w:hAnsi="Times New Roman"/>
          <w:b w:val="false"/>
          <w:i/>
          <w:color w:val="000000"/>
          <w:sz w:val="22"/>
        </w:rPr>
        <w:t xml:space="preserve">State soil conservation and water quality committee evaluation. </w:t>
      </w:r>
      <w:r>
        <w:rPr>
          <w:rFonts w:ascii="Times New Roman" w:hAnsi="Times New Roman"/>
          <w:b w:val="false"/>
          <w:i w:val="false"/>
          <w:color w:val="000000"/>
          <w:sz w:val="22"/>
        </w:rPr>
        <w:t xml:space="preserve">The state soil conservation and water quality committee shall examine the district submission under </w:t>
      </w:r>
      <w:hyperlink r:id="rId16">
        <w:r>
          <w:rPr>
            <w:rStyle w:val="Hyperlink"/>
            <w:rFonts w:ascii="Times New Roman" w:hAnsi="Times New Roman"/>
            <w:b w:val="false"/>
            <w:i w:val="false"/>
            <w:color w:val="000000"/>
            <w:sz w:val="22"/>
          </w:rPr>
          <w:t>12.75(1)</w:t>
        </w:r>
      </w:hyperlink>
      <w:r>
        <w:rPr>
          <w:rFonts w:ascii="Times New Roman" w:hAnsi="Times New Roman"/>
          <w:b w:val="false"/>
          <w:i w:val="false"/>
          <w:color w:val="000000"/>
          <w:sz w:val="22"/>
        </w:rPr>
        <w:t xml:space="preserve"> with respect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public value and current use of the water resource to be protected.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nature, extent and severity of the water quality problem to be addressed.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degree to which the district designation focuses practice application in a manner that will achieve a water quality benefit from the funds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12.75(3)</w:t>
      </w:r>
      <w:r>
        <w:rPr>
          <w:rFonts w:ascii="Times New Roman" w:hAnsi="Times New Roman"/>
          <w:b w:val="false"/>
          <w:i w:val="false"/>
          <w:color w:val="000000"/>
          <w:sz w:val="22"/>
        </w:rPr>
        <w:t> </w:t>
      </w:r>
      <w:r>
        <w:rPr>
          <w:rFonts w:ascii="Times New Roman" w:hAnsi="Times New Roman"/>
          <w:b w:val="false"/>
          <w:i/>
          <w:color w:val="000000"/>
          <w:sz w:val="22"/>
        </w:rPr>
        <w:t xml:space="preserve">Review time limit. </w:t>
      </w:r>
      <w:r>
        <w:rPr>
          <w:rFonts w:ascii="Times New Roman" w:hAnsi="Times New Roman"/>
          <w:b w:val="false"/>
          <w:i w:val="false"/>
          <w:color w:val="000000"/>
          <w:sz w:val="22"/>
        </w:rPr>
        <w:t>The state soil conservation and water quality committee shall approve or disapprove the district designation within 90 days of receipt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12.75(4)</w:t>
      </w:r>
      <w:r>
        <w:rPr>
          <w:rFonts w:ascii="Times New Roman" w:hAnsi="Times New Roman"/>
          <w:b w:val="false"/>
          <w:i w:val="false"/>
          <w:color w:val="000000"/>
          <w:sz w:val="22"/>
        </w:rPr>
        <w:t> </w:t>
      </w:r>
      <w:r>
        <w:rPr>
          <w:rFonts w:ascii="Times New Roman" w:hAnsi="Times New Roman"/>
          <w:b w:val="false"/>
          <w:i/>
          <w:color w:val="000000"/>
          <w:sz w:val="22"/>
        </w:rPr>
        <w:t xml:space="preserve">Disapproval of designation. </w:t>
      </w:r>
      <w:r>
        <w:rPr>
          <w:rFonts w:ascii="Times New Roman" w:hAnsi="Times New Roman"/>
          <w:b w:val="false"/>
          <w:i w:val="false"/>
          <w:color w:val="000000"/>
          <w:sz w:val="22"/>
        </w:rPr>
        <w:t>In the event of disapproval of district designation, the state soil conservation and water quality committee shall inform the district of the reason for disapproval.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3243C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27—12.76</w:t>
      </w:r>
      <w:r>
        <w:rPr>
          <w:rFonts w:ascii="Times New Roman" w:hAnsi="Times New Roman"/>
          <w:b/>
          <w:i w:val="false"/>
          <w:color w:val="000000"/>
          <w:sz w:val="22"/>
        </w:rPr>
        <w:t xml:space="preserve">(161C) </w:t>
      </w:r>
      <w:r>
        <w:rPr>
          <w:rFonts w:ascii="Times New Roman" w:hAnsi="Times New Roman"/>
          <w:b/>
          <w:i w:val="false"/>
          <w:color w:val="000000"/>
          <w:sz w:val="22"/>
        </w:rPr>
        <w:t xml:space="preserve">Practice standards and specifications. </w:t>
      </w:r>
      <w:r>
        <w:rPr>
          <w:rFonts w:ascii="Times New Roman" w:hAnsi="Times New Roman"/>
          <w:b w:val="false"/>
          <w:i w:val="false"/>
          <w:color w:val="000000"/>
          <w:sz w:val="22"/>
        </w:rPr>
        <w:t xml:space="preserve">In addition to specifications defined herein, rule </w:t>
      </w:r>
      <w:hyperlink r:id="rId17">
        <w:r>
          <w:rPr>
            <w:rStyle w:val="Hyperlink"/>
            <w:rFonts w:ascii="Times New Roman" w:hAnsi="Times New Roman"/>
            <w:b w:val="false"/>
            <w:i w:val="false"/>
            <w:color w:val="000000"/>
            <w:sz w:val="22"/>
          </w:rPr>
          <w:t>27—10.84</w:t>
        </w:r>
      </w:hyperlink>
      <w:r>
        <w:rPr>
          <w:rFonts w:ascii="Times New Roman" w:hAnsi="Times New Roman"/>
          <w:b w:val="false"/>
          <w:i w:val="false"/>
          <w:color w:val="000000"/>
          <w:sz w:val="22"/>
        </w:rPr>
        <w:t>(161A) specifications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12.76(1)</w:t>
      </w:r>
      <w:r>
        <w:rPr>
          <w:rFonts w:ascii="Times New Roman" w:hAnsi="Times New Roman"/>
          <w:b w:val="false"/>
          <w:i w:val="false"/>
          <w:color w:val="000000"/>
          <w:sz w:val="22"/>
        </w:rPr>
        <w:t> </w:t>
      </w:r>
      <w:r>
        <w:rPr>
          <w:rFonts w:ascii="Times New Roman" w:hAnsi="Times New Roman"/>
          <w:b w:val="false"/>
          <w:i/>
          <w:color w:val="000000"/>
          <w:sz w:val="22"/>
        </w:rPr>
        <w:t xml:space="preserve">Agricultural drainage well closure. </w:t>
      </w:r>
      <w:hyperlink r:id="rId18">
        <w:r>
          <w:rPr>
            <w:rStyle w:val="Hyperlink"/>
            <w:rFonts w:ascii="Times New Roman" w:hAnsi="Times New Roman"/>
            <w:b w:val="false"/>
            <w:i w:val="false"/>
            <w:color w:val="000000"/>
            <w:sz w:val="22"/>
          </w:rPr>
          <w:t>567 IAC Chapter 39</w:t>
        </w:r>
      </w:hyperlink>
      <w:r>
        <w:rPr>
          <w:rFonts w:ascii="Times New Roman" w:hAnsi="Times New Roman"/>
          <w:b w:val="false"/>
          <w:i w:val="false"/>
          <w:color w:val="000000"/>
          <w:sz w:val="22"/>
        </w:rPr>
        <w:t>, Requirements for Properly Plugging Abandoned Wells.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12.76(2)</w:t>
      </w:r>
      <w:r>
        <w:rPr>
          <w:rFonts w:ascii="Times New Roman" w:hAnsi="Times New Roman"/>
          <w:b w:val="false"/>
          <w:i w:val="false"/>
          <w:color w:val="000000"/>
          <w:sz w:val="22"/>
        </w:rPr>
        <w:t> </w:t>
      </w:r>
      <w:r>
        <w:rPr>
          <w:rFonts w:ascii="Times New Roman" w:hAnsi="Times New Roman"/>
          <w:b w:val="false"/>
          <w:i/>
          <w:color w:val="000000"/>
          <w:sz w:val="22"/>
        </w:rPr>
        <w:t xml:space="preserve">Agricultural drainage well plugging and cistern removal. </w:t>
      </w:r>
      <w:hyperlink r:id="rId19">
        <w:r>
          <w:rPr>
            <w:rStyle w:val="Hyperlink"/>
            <w:rFonts w:ascii="Times New Roman" w:hAnsi="Times New Roman"/>
            <w:b w:val="false"/>
            <w:i w:val="false"/>
            <w:color w:val="000000"/>
            <w:sz w:val="22"/>
          </w:rPr>
          <w:t>567 IAC Chapter 39</w:t>
        </w:r>
      </w:hyperlink>
      <w:r>
        <w:rPr>
          <w:rFonts w:ascii="Times New Roman" w:hAnsi="Times New Roman"/>
          <w:b w:val="false"/>
          <w:i w:val="false"/>
          <w:color w:val="000000"/>
          <w:sz w:val="22"/>
        </w:rPr>
        <w:t>, Requirements for Properly Plugging Abandoned Wells.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12.76(3)</w:t>
      </w:r>
      <w:r>
        <w:rPr>
          <w:rFonts w:ascii="Times New Roman" w:hAnsi="Times New Roman"/>
          <w:b w:val="false"/>
          <w:i w:val="false"/>
          <w:color w:val="000000"/>
          <w:sz w:val="22"/>
        </w:rPr>
        <w:t> </w:t>
      </w:r>
      <w:r>
        <w:rPr>
          <w:rFonts w:ascii="Times New Roman" w:hAnsi="Times New Roman"/>
          <w:b w:val="false"/>
          <w:i/>
          <w:color w:val="000000"/>
          <w:sz w:val="22"/>
        </w:rPr>
        <w:t xml:space="preserve">Stormwater quality best management practices. </w:t>
      </w:r>
      <w:r>
        <w:rPr>
          <w:rFonts w:ascii="Times New Roman" w:hAnsi="Times New Roman"/>
          <w:b w:val="false"/>
          <w:i w:val="false"/>
          <w:color w:val="000000"/>
          <w:sz w:val="22"/>
        </w:rPr>
        <w:t>Iowa Stormwater Management Manual, Chapter 2, Sections D-L.</w:t>
      </w:r>
    </w:p>
    <w:p>
      <w:pPr>
        <w:spacing w:before="0" w:after="0"/>
        <w:ind w:left="120"/>
        <w:jc w:val="both"/>
      </w:pPr>
      <w:r>
        <w:rPr>
          <w:rFonts w:ascii="Times New Roman" w:hAnsi="Times New Roman"/>
          <w:b/>
          <w:i w:val="false"/>
          <w:color w:val="000000"/>
          <w:sz w:val="22"/>
        </w:rPr>
        <w:t>27—12.77</w:t>
      </w:r>
      <w:r>
        <w:rPr>
          <w:rFonts w:ascii="Times New Roman" w:hAnsi="Times New Roman"/>
          <w:b/>
          <w:i w:val="false"/>
          <w:color w:val="000000"/>
          <w:sz w:val="22"/>
        </w:rPr>
        <w:t xml:space="preserve">(161C) </w:t>
      </w:r>
      <w:r>
        <w:rPr>
          <w:rFonts w:ascii="Times New Roman" w:hAnsi="Times New Roman"/>
          <w:b/>
          <w:i w:val="false"/>
          <w:color w:val="000000"/>
          <w:sz w:val="22"/>
        </w:rPr>
        <w:t xml:space="preserve">Cost-share rates. </w:t>
      </w:r>
      <w:r>
        <w:rPr>
          <w:rFonts w:ascii="Times New Roman" w:hAnsi="Times New Roman"/>
          <w:b w:val="false"/>
          <w:i w:val="false"/>
          <w:color w:val="000000"/>
          <w:sz w:val="22"/>
        </w:rPr>
        <w:t xml:space="preserve">The following cost-share rates shall apply for eligible practices designated in rules </w:t>
      </w:r>
      <w:hyperlink r:id="rId20">
        <w:r>
          <w:rPr>
            <w:rStyle w:val="Hyperlink"/>
            <w:rFonts w:ascii="Times New Roman" w:hAnsi="Times New Roman"/>
            <w:b w:val="false"/>
            <w:i w:val="false"/>
            <w:color w:val="000000"/>
            <w:sz w:val="22"/>
          </w:rPr>
          <w:t>27—12.72</w:t>
        </w:r>
      </w:hyperlink>
      <w:r>
        <w:rPr>
          <w:rFonts w:ascii="Times New Roman" w:hAnsi="Times New Roman"/>
          <w:b w:val="false"/>
          <w:i w:val="false"/>
          <w:color w:val="000000"/>
          <w:sz w:val="22"/>
        </w:rPr>
        <w:t xml:space="preserve">(161C) to </w:t>
      </w:r>
      <w:hyperlink r:id="rId21">
        <w:r>
          <w:rPr>
            <w:rStyle w:val="Hyperlink"/>
            <w:rFonts w:ascii="Times New Roman" w:hAnsi="Times New Roman"/>
            <w:b w:val="false"/>
            <w:i w:val="false"/>
            <w:color w:val="000000"/>
            <w:sz w:val="22"/>
          </w:rPr>
          <w:t>27—12.74</w:t>
        </w:r>
      </w:hyperlink>
      <w:r>
        <w:rPr>
          <w:rFonts w:ascii="Times New Roman" w:hAnsi="Times New Roman"/>
          <w:b w:val="false"/>
          <w:i w:val="false"/>
          <w:color w:val="000000"/>
          <w:sz w:val="22"/>
        </w:rPr>
        <w:t>(161C). These rates represent the maximum allowable cost share provided by state funds. These rates may be used in combination with other public funds to provide a total cost-share rate not to exceed 75 percent of the lesser of the eligible or the estimated cost of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12.77(1)</w:t>
      </w:r>
      <w:r>
        <w:rPr>
          <w:rFonts w:ascii="Times New Roman" w:hAnsi="Times New Roman"/>
          <w:b w:val="false"/>
          <w:i w:val="false"/>
          <w:color w:val="000000"/>
          <w:sz w:val="22"/>
        </w:rPr>
        <w:t> </w:t>
      </w:r>
      <w:r>
        <w:rPr>
          <w:rFonts w:ascii="Times New Roman" w:hAnsi="Times New Roman"/>
          <w:b w:val="false"/>
          <w:i/>
          <w:color w:val="000000"/>
          <w:sz w:val="22"/>
        </w:rPr>
        <w:t xml:space="preserve">Cost-share rates. </w:t>
      </w:r>
      <w:r>
        <w:rPr>
          <w:rFonts w:ascii="Times New Roman" w:hAnsi="Times New Roman"/>
          <w:b w:val="false"/>
          <w:i w:val="false"/>
          <w:color w:val="000000"/>
          <w:sz w:val="22"/>
        </w:rPr>
        <w:t xml:space="preserve">Cost-share rates for practices designated in rule </w:t>
      </w:r>
      <w:hyperlink r:id="rId22">
        <w:r>
          <w:rPr>
            <w:rStyle w:val="Hyperlink"/>
            <w:rFonts w:ascii="Times New Roman" w:hAnsi="Times New Roman"/>
            <w:b w:val="false"/>
            <w:i w:val="false"/>
            <w:color w:val="000000"/>
            <w:sz w:val="22"/>
          </w:rPr>
          <w:t>27—12.72</w:t>
        </w:r>
      </w:hyperlink>
      <w:r>
        <w:rPr>
          <w:rFonts w:ascii="Times New Roman" w:hAnsi="Times New Roman"/>
          <w:b w:val="false"/>
          <w:i w:val="false"/>
          <w:color w:val="000000"/>
          <w:sz w:val="22"/>
        </w:rPr>
        <w:t xml:space="preserve">(161C) shall be 50 percent of the eligible or estimated cost of installation, whichever is less, except for contour buffer strips, field borders, and access control. Cost-share rates for </w:t>
      </w:r>
      <w:hyperlink r:id="rId23">
        <w:r>
          <w:rPr>
            <w:rStyle w:val="Hyperlink"/>
            <w:rFonts w:ascii="Times New Roman" w:hAnsi="Times New Roman"/>
            <w:b w:val="false"/>
            <w:i w:val="false"/>
            <w:color w:val="000000"/>
            <w:sz w:val="22"/>
          </w:rPr>
          <w:t>12.72(2)</w:t>
        </w:r>
      </w:hyperlink>
      <w:r>
        <w:rPr>
          <w:rFonts w:ascii="Times New Roman" w:hAnsi="Times New Roman"/>
          <w:b w:val="false"/>
          <w:i w:val="false"/>
          <w:color w:val="000000"/>
          <w:sz w:val="22"/>
        </w:rPr>
        <w:t xml:space="preserve">, contour buffer strips, and </w:t>
      </w:r>
      <w:hyperlink r:id="rId24">
        <w:r>
          <w:rPr>
            <w:rStyle w:val="Hyperlink"/>
            <w:rFonts w:ascii="Times New Roman" w:hAnsi="Times New Roman"/>
            <w:b w:val="false"/>
            <w:i w:val="false"/>
            <w:color w:val="000000"/>
            <w:sz w:val="22"/>
          </w:rPr>
          <w:t>12.72(3)</w:t>
        </w:r>
      </w:hyperlink>
      <w:r>
        <w:rPr>
          <w:rFonts w:ascii="Times New Roman" w:hAnsi="Times New Roman"/>
          <w:b w:val="false"/>
          <w:i w:val="false"/>
          <w:color w:val="000000"/>
          <w:sz w:val="22"/>
        </w:rPr>
        <w:t xml:space="preserve">, field borders, shall be a one-time payment of 50 percent of the eligible or estimated cost of installation, whichever is less, up to $25 per acre. Cost-share rates for </w:t>
      </w:r>
      <w:hyperlink r:id="rId25">
        <w:r>
          <w:rPr>
            <w:rStyle w:val="Hyperlink"/>
            <w:rFonts w:ascii="Times New Roman" w:hAnsi="Times New Roman"/>
            <w:b w:val="false"/>
            <w:i w:val="false"/>
            <w:color w:val="000000"/>
            <w:sz w:val="22"/>
          </w:rPr>
          <w:t>12.72(10)</w:t>
        </w:r>
      </w:hyperlink>
      <w:r>
        <w:rPr>
          <w:rFonts w:ascii="Times New Roman" w:hAnsi="Times New Roman"/>
          <w:b w:val="false"/>
          <w:i w:val="false"/>
          <w:color w:val="000000"/>
          <w:sz w:val="22"/>
        </w:rPr>
        <w:t>, access control, shall include a one-time payment of up to $200 per acre. In addition, fencing systems used to implement access control are eligible for 50 percent of the eligible or estimated cost, whichever is less, not to exceed $14 per rod for permanent fencing. Cost-share assistance for this practice may not be provided on the same acres that already received a cost-share payment through the buffer initiative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12.77(2)</w:t>
      </w:r>
      <w:r>
        <w:rPr>
          <w:rFonts w:ascii="Times New Roman" w:hAnsi="Times New Roman"/>
          <w:b w:val="false"/>
          <w:i w:val="false"/>
          <w:color w:val="000000"/>
          <w:sz w:val="22"/>
        </w:rPr>
        <w:t> </w:t>
      </w:r>
      <w:r>
        <w:rPr>
          <w:rFonts w:ascii="Times New Roman" w:hAnsi="Times New Roman"/>
          <w:b w:val="false"/>
          <w:i/>
          <w:color w:val="000000"/>
          <w:sz w:val="22"/>
        </w:rPr>
        <w:t xml:space="preserve">Cost-share rates for water protection practices. </w:t>
      </w:r>
      <w:r>
        <w:rPr>
          <w:rFonts w:ascii="Times New Roman" w:hAnsi="Times New Roman"/>
          <w:b w:val="false"/>
          <w:i w:val="false"/>
          <w:color w:val="000000"/>
          <w:sz w:val="22"/>
        </w:rPr>
        <w:t xml:space="preserve">Cost-share rates for practices designated in rule </w:t>
      </w:r>
      <w:hyperlink r:id="rId26">
        <w:r>
          <w:rPr>
            <w:rStyle w:val="Hyperlink"/>
            <w:rFonts w:ascii="Times New Roman" w:hAnsi="Times New Roman"/>
            <w:b w:val="false"/>
            <w:i w:val="false"/>
            <w:color w:val="000000"/>
            <w:sz w:val="22"/>
          </w:rPr>
          <w:t>12.73</w:t>
        </w:r>
      </w:hyperlink>
      <w:r>
        <w:rPr>
          <w:rFonts w:ascii="Times New Roman" w:hAnsi="Times New Roman"/>
          <w:b w:val="false"/>
          <w:i w:val="false"/>
          <w:color w:val="000000"/>
          <w:sz w:val="22"/>
        </w:rPr>
        <w:t>(161C) shall be 50 percent of the eligible or estimated cost, whichever is 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12.77(3)</w:t>
      </w:r>
      <w:r>
        <w:rPr>
          <w:rFonts w:ascii="Times New Roman" w:hAnsi="Times New Roman"/>
          <w:b w:val="false"/>
          <w:i w:val="false"/>
          <w:color w:val="000000"/>
          <w:sz w:val="22"/>
        </w:rPr>
        <w:t> </w:t>
      </w:r>
      <w:r>
        <w:rPr>
          <w:rFonts w:ascii="Times New Roman" w:hAnsi="Times New Roman"/>
          <w:b w:val="false"/>
          <w:i/>
          <w:color w:val="000000"/>
          <w:sz w:val="22"/>
        </w:rPr>
        <w:t xml:space="preserve">Cost-share rates for agricultural drainage well closure. </w:t>
      </w:r>
      <w:r>
        <w:rPr>
          <w:rFonts w:ascii="Times New Roman" w:hAnsi="Times New Roman"/>
          <w:b w:val="false"/>
          <w:i w:val="false"/>
          <w:color w:val="000000"/>
          <w:sz w:val="22"/>
        </w:rPr>
        <w:t xml:space="preserve">Cost-share rates for practices designated in rule </w:t>
      </w:r>
      <w:hyperlink r:id="rId27">
        <w:r>
          <w:rPr>
            <w:rStyle w:val="Hyperlink"/>
            <w:rFonts w:ascii="Times New Roman" w:hAnsi="Times New Roman"/>
            <w:b w:val="false"/>
            <w:i w:val="false"/>
            <w:color w:val="000000"/>
            <w:sz w:val="22"/>
          </w:rPr>
          <w:t>27—12.74</w:t>
        </w:r>
      </w:hyperlink>
      <w:r>
        <w:rPr>
          <w:rFonts w:ascii="Times New Roman" w:hAnsi="Times New Roman"/>
          <w:b w:val="false"/>
          <w:i w:val="false"/>
          <w:color w:val="000000"/>
          <w:sz w:val="22"/>
        </w:rPr>
        <w:t>(161C) shall be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Fifty percent of the eligible or estimated cost, whichever is less, of agricultural drainage well plugging and cistern removal, not to exceed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Fifty percent of the eligible or estimated cost, whichever is less, of establishing a tile outlet from the plugged agricultural drainage well to a suitable, legal outlet, not to exceed $2,000.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8755B</w:t>
      </w:r>
      <w:r>
        <w:rPr>
          <w:rFonts w:ascii="Times New Roman" w:hAnsi="Times New Roman"/>
          <w:b w:val="false"/>
          <w:i w:val="false"/>
          <w:color w:val="000000"/>
          <w:sz w:val="16"/>
        </w:rPr>
        <w:t>, IAB 5/19/10,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0737C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3244C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27—12.78</w:t>
      </w:r>
      <w:r>
        <w:rPr>
          <w:rFonts w:ascii="Times New Roman" w:hAnsi="Times New Roman"/>
          <w:b w:val="false"/>
          <w:i w:val="false"/>
          <w:color w:val="000000"/>
          <w:sz w:val="22"/>
        </w:rPr>
        <w:t xml:space="preserve"> and </w:t>
      </w:r>
      <w:r>
        <w:rPr>
          <w:rFonts w:ascii="Times New Roman" w:hAnsi="Times New Roman"/>
          <w:b/>
          <w:i w:val="false"/>
          <w:color w:val="000000"/>
          <w:sz w:val="22"/>
        </w:rPr>
        <w:t>12.79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8</w:t>
      </w:r>
    </w:p>
    <w:p>
      <w:pPr>
        <w:spacing w:before="210" w:after="0"/>
        <w:ind w:left="120"/>
        <w:jc w:val="both"/>
      </w:pPr>
      <w:r>
        <w:rPr>
          <w:rFonts w:ascii="Times New Roman" w:hAnsi="Times New Roman"/>
          <w:b/>
          <w:i w:val="false"/>
          <w:color w:val="000000"/>
          <w:sz w:val="22"/>
        </w:rPr>
        <w:t>27—12.80</w:t>
      </w:r>
      <w:r>
        <w:rPr>
          <w:rFonts w:ascii="Times New Roman" w:hAnsi="Times New Roman"/>
          <w:b/>
          <w:i w:val="false"/>
          <w:color w:val="000000"/>
          <w:sz w:val="22"/>
        </w:rPr>
        <w:t xml:space="preserve">(161C) </w:t>
      </w:r>
      <w:r>
        <w:rPr>
          <w:rFonts w:ascii="Times New Roman" w:hAnsi="Times New Roman"/>
          <w:b/>
          <w:i w:val="false"/>
          <w:color w:val="000000"/>
          <w:sz w:val="22"/>
        </w:rPr>
        <w:t xml:space="preserve">Water protection practices—woodlands, native grasses and forbs. </w:t>
      </w:r>
      <w:r>
        <w:rPr>
          <w:rFonts w:ascii="Times New Roman" w:hAnsi="Times New Roman"/>
          <w:b w:val="false"/>
          <w:i w:val="false"/>
          <w:color w:val="000000"/>
          <w:sz w:val="22"/>
        </w:rPr>
        <w:t xml:space="preserve">The purpose of this part is to establish the general conditions, eligible practices, specifications and cost-share rates for the installation of woodlands, native grasses and forbs as authorized in Iowa Code chapter </w:t>
      </w:r>
      <w:hyperlink r:id="rId28">
        <w:r>
          <w:rPr>
            <w:rStyle w:val="Hyperlink"/>
            <w:rFonts w:ascii="Times New Roman" w:hAnsi="Times New Roman"/>
            <w:b w:val="false"/>
            <w:i w:val="false"/>
            <w:color w:val="000000"/>
            <w:sz w:val="22"/>
          </w:rPr>
          <w:t>161C</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27—12.81</w:t>
      </w:r>
      <w:r>
        <w:rPr>
          <w:rFonts w:ascii="Times New Roman" w:hAnsi="Times New Roman"/>
          <w:b/>
          <w:i w:val="false"/>
          <w:color w:val="000000"/>
          <w:sz w:val="22"/>
        </w:rPr>
        <w:t xml:space="preserve">(161C) </w:t>
      </w:r>
      <w:r>
        <w:rPr>
          <w:rFonts w:ascii="Times New Roman" w:hAnsi="Times New Roman"/>
          <w:b/>
          <w:i w:val="false"/>
          <w:color w:val="000000"/>
          <w:sz w:val="22"/>
        </w:rPr>
        <w:t xml:space="preserve">General conditions. </w:t>
      </w:r>
      <w:r>
        <w:rPr>
          <w:rFonts w:ascii="Times New Roman" w:hAnsi="Times New Roman"/>
          <w:b w:val="false"/>
          <w:i w:val="false"/>
          <w:color w:val="000000"/>
          <w:sz w:val="22"/>
        </w:rPr>
        <w:t>The following general conditions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12.81(1)</w:t>
      </w:r>
      <w:r>
        <w:rPr>
          <w:rFonts w:ascii="Times New Roman" w:hAnsi="Times New Roman"/>
          <w:b w:val="false"/>
          <w:i w:val="false"/>
          <w:color w:val="000000"/>
          <w:sz w:val="22"/>
        </w:rPr>
        <w:t> </w:t>
      </w:r>
      <w:r>
        <w:rPr>
          <w:rFonts w:ascii="Times New Roman" w:hAnsi="Times New Roman"/>
          <w:b w:val="false"/>
          <w:i/>
          <w:color w:val="000000"/>
          <w:sz w:val="22"/>
        </w:rPr>
        <w:t xml:space="preserve">Practice need. </w:t>
      </w:r>
      <w:r>
        <w:rPr>
          <w:rFonts w:ascii="Times New Roman" w:hAnsi="Times New Roman"/>
          <w:b w:val="false"/>
          <w:i w:val="false"/>
          <w:color w:val="000000"/>
          <w:sz w:val="22"/>
        </w:rPr>
        <w:t>The designated practices shall not be funded unless the certifying technician has inspected the site and has determined that such practice(s) is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12.81(2)</w:t>
      </w:r>
      <w:r>
        <w:rPr>
          <w:rFonts w:ascii="Times New Roman" w:hAnsi="Times New Roman"/>
          <w:b w:val="false"/>
          <w:i w:val="false"/>
          <w:color w:val="000000"/>
          <w:sz w:val="22"/>
        </w:rPr>
        <w:t> </w:t>
      </w:r>
      <w:r>
        <w:rPr>
          <w:rFonts w:ascii="Times New Roman" w:hAnsi="Times New Roman"/>
          <w:b w:val="false"/>
          <w:i/>
          <w:color w:val="000000"/>
          <w:sz w:val="22"/>
        </w:rPr>
        <w:t xml:space="preserve">Forest management plan required. </w:t>
      </w:r>
      <w:r>
        <w:rPr>
          <w:rFonts w:ascii="Times New Roman" w:hAnsi="Times New Roman"/>
          <w:b w:val="false"/>
          <w:i w:val="false"/>
          <w:color w:val="000000"/>
          <w:sz w:val="22"/>
        </w:rPr>
        <w:t>A forest management plan approved by the forestry bureau of the department of natural resources is required for the practices of forest stand improvement, tree planting, site preparation for natural regeneration, and rescue treatments.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12.81(3)</w:t>
      </w:r>
      <w:r>
        <w:rPr>
          <w:rFonts w:ascii="Times New Roman" w:hAnsi="Times New Roman"/>
          <w:b w:val="false"/>
          <w:i w:val="false"/>
          <w:color w:val="000000"/>
          <w:sz w:val="22"/>
        </w:rPr>
        <w:t> </w:t>
      </w:r>
      <w:r>
        <w:rPr>
          <w:rFonts w:ascii="Times New Roman" w:hAnsi="Times New Roman"/>
          <w:b w:val="false"/>
          <w:i/>
          <w:color w:val="000000"/>
          <w:sz w:val="22"/>
        </w:rPr>
        <w:t xml:space="preserve">Eligibility of practices. </w:t>
      </w:r>
      <w:r>
        <w:rPr>
          <w:rFonts w:ascii="Times New Roman" w:hAnsi="Times New Roman"/>
          <w:b w:val="false"/>
          <w:i w:val="false"/>
          <w:color w:val="000000"/>
          <w:sz w:val="22"/>
        </w:rPr>
        <w:t>Planting or management of trees for nut orchards or Christmas tree production is only eligible as intermediate products in stands being established for other approved purposes. Planting or management of trees for ornamental purposes or fruit orchards is not eligible.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8755B</w:t>
      </w:r>
      <w:r>
        <w:rPr>
          <w:rFonts w:ascii="Times New Roman" w:hAnsi="Times New Roman"/>
          <w:b w:val="false"/>
          <w:i w:val="false"/>
          <w:color w:val="000000"/>
          <w:sz w:val="16"/>
        </w:rPr>
        <w:t>, IAB 5/19/10, effective 7/1/10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27—12.82</w:t>
      </w:r>
      <w:r>
        <w:rPr>
          <w:rFonts w:ascii="Times New Roman" w:hAnsi="Times New Roman"/>
          <w:b/>
          <w:i w:val="false"/>
          <w:color w:val="000000"/>
          <w:sz w:val="22"/>
        </w:rPr>
        <w:t xml:space="preserve">(161C) </w:t>
      </w:r>
      <w:r>
        <w:rPr>
          <w:rFonts w:ascii="Times New Roman" w:hAnsi="Times New Roman"/>
          <w:b/>
          <w:i w:val="false"/>
          <w:color w:val="000000"/>
          <w:sz w:val="22"/>
        </w:rPr>
        <w:t xml:space="preserve">Eligible practices. </w:t>
      </w:r>
      <w:r>
        <w:rPr>
          <w:rFonts w:ascii="Times New Roman" w:hAnsi="Times New Roman"/>
          <w:b w:val="false"/>
          <w:i w:val="false"/>
          <w:color w:val="000000"/>
          <w:sz w:val="22"/>
        </w:rPr>
        <w:t>Land enrolled in the Conservation Reserve Program is eligible for woodland establishment, management and protection practices and is also eligible for native grass and forb establishment. All practices listed in this part are available to all other eligible landowners within Iowa soil and water conservation districts. All practices listed below are permanent.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12.82(1)</w:t>
      </w:r>
      <w:r>
        <w:rPr>
          <w:rFonts w:ascii="Times New Roman" w:hAnsi="Times New Roman"/>
          <w:b w:val="false"/>
          <w:i w:val="false"/>
          <w:color w:val="000000"/>
          <w:sz w:val="22"/>
        </w:rPr>
        <w:t> </w:t>
      </w:r>
      <w:r>
        <w:rPr>
          <w:rFonts w:ascii="Times New Roman" w:hAnsi="Times New Roman"/>
          <w:b w:val="false"/>
          <w:i w:val="false"/>
          <w:color w:val="000000"/>
          <w:sz w:val="22"/>
        </w:rPr>
        <w:t>Windbreaks. A belt of trees or shrubs established or restored next to an occupied structure. A windbreak must meet either NRCS Standard 380-Windbreak/shelterbelt establishment or NRCS Standard 650-Windbreak/shelterbelt renovation.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12.82(2)</w:t>
      </w:r>
      <w:r>
        <w:rPr>
          <w:rFonts w:ascii="Times New Roman" w:hAnsi="Times New Roman"/>
          <w:b w:val="false"/>
          <w:i w:val="false"/>
          <w:color w:val="000000"/>
          <w:sz w:val="22"/>
        </w:rPr>
        <w:t> </w:t>
      </w:r>
      <w:r>
        <w:rPr>
          <w:rFonts w:ascii="Times New Roman" w:hAnsi="Times New Roman"/>
          <w:b w:val="false"/>
          <w:i w:val="false"/>
          <w:color w:val="000000"/>
          <w:sz w:val="22"/>
        </w:rPr>
        <w:t>Field windbreak. A belt of trees or shrubs established or restored, within or adjacent to a field. A windbreak must meet either NRCS Standard 380-Windbreak/shelterbelt establishment or NRCS Standard 650-Windbreak/shelterbelt renovation.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12.82(3)</w:t>
      </w:r>
      <w:r>
        <w:rPr>
          <w:rFonts w:ascii="Times New Roman" w:hAnsi="Times New Roman"/>
          <w:b w:val="false"/>
          <w:i w:val="false"/>
          <w:color w:val="000000"/>
          <w:sz w:val="22"/>
        </w:rPr>
        <w:t> </w:t>
      </w:r>
      <w:r>
        <w:rPr>
          <w:rFonts w:ascii="Times New Roman" w:hAnsi="Times New Roman"/>
          <w:b w:val="false"/>
          <w:i w:val="false"/>
          <w:color w:val="000000"/>
          <w:sz w:val="22"/>
        </w:rPr>
        <w:t>Forest stand improvement. Minimum eligible area is five acres.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12.82(4)</w:t>
      </w:r>
      <w:r>
        <w:rPr>
          <w:rFonts w:ascii="Times New Roman" w:hAnsi="Times New Roman"/>
          <w:b w:val="false"/>
          <w:i w:val="false"/>
          <w:color w:val="000000"/>
          <w:sz w:val="22"/>
        </w:rPr>
        <w:t> </w:t>
      </w:r>
      <w:r>
        <w:rPr>
          <w:rFonts w:ascii="Times New Roman" w:hAnsi="Times New Roman"/>
          <w:b w:val="false"/>
          <w:i w:val="false"/>
          <w:color w:val="000000"/>
          <w:sz w:val="22"/>
        </w:rPr>
        <w:t>Tree planting. Minimum eligible area is three acres.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12.82(5)</w:t>
      </w:r>
      <w:r>
        <w:rPr>
          <w:rFonts w:ascii="Times New Roman" w:hAnsi="Times New Roman"/>
          <w:b w:val="false"/>
          <w:i w:val="false"/>
          <w:color w:val="000000"/>
          <w:sz w:val="22"/>
        </w:rPr>
        <w:t> </w:t>
      </w:r>
      <w:r>
        <w:rPr>
          <w:rFonts w:ascii="Times New Roman" w:hAnsi="Times New Roman"/>
          <w:b w:val="false"/>
          <w:i w:val="false"/>
          <w:color w:val="000000"/>
          <w:sz w:val="22"/>
        </w:rPr>
        <w:t>Site preparation for natural regeneration. Minimum eligible area is three acres.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12.82(6)</w:t>
      </w:r>
      <w:r>
        <w:rPr>
          <w:rFonts w:ascii="Times New Roman" w:hAnsi="Times New Roman"/>
          <w:b w:val="false"/>
          <w:i w:val="false"/>
          <w:color w:val="000000"/>
          <w:sz w:val="22"/>
        </w:rPr>
        <w:t> </w:t>
      </w:r>
      <w:r>
        <w:rPr>
          <w:rFonts w:ascii="Times New Roman" w:hAnsi="Times New Roman"/>
          <w:b w:val="false"/>
          <w:i w:val="false"/>
          <w:color w:val="000000"/>
          <w:sz w:val="22"/>
        </w:rPr>
        <w:t>Riparian forest buffer.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12.82(7)</w:t>
      </w:r>
      <w:r>
        <w:rPr>
          <w:rFonts w:ascii="Times New Roman" w:hAnsi="Times New Roman"/>
          <w:b w:val="false"/>
          <w:i w:val="false"/>
          <w:color w:val="000000"/>
          <w:sz w:val="22"/>
        </w:rPr>
        <w:t> </w:t>
      </w:r>
      <w:r>
        <w:rPr>
          <w:rFonts w:ascii="Times New Roman" w:hAnsi="Times New Roman"/>
          <w:b w:val="false"/>
          <w:i w:val="false"/>
          <w:color w:val="000000"/>
          <w:sz w:val="22"/>
        </w:rPr>
        <w:t>Rescue treatments. Minimum eligible area is three acres.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12.82(8)</w:t>
      </w:r>
      <w:r>
        <w:rPr>
          <w:rFonts w:ascii="Times New Roman" w:hAnsi="Times New Roman"/>
          <w:b w:val="false"/>
          <w:i w:val="false"/>
          <w:color w:val="000000"/>
          <w:sz w:val="22"/>
        </w:rPr>
        <w:t> </w:t>
      </w:r>
      <w:r>
        <w:rPr>
          <w:rFonts w:ascii="Times New Roman" w:hAnsi="Times New Roman"/>
          <w:b w:val="false"/>
          <w:i w:val="false"/>
          <w:color w:val="000000"/>
          <w:sz w:val="22"/>
        </w:rPr>
        <w:t>Prescribed grazing. The practice must include a minimum of two paddocks of native species grasses.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12.82(9)</w:t>
      </w:r>
      <w:r>
        <w:rPr>
          <w:rFonts w:ascii="Times New Roman" w:hAnsi="Times New Roman"/>
          <w:b w:val="false"/>
          <w:i w:val="false"/>
          <w:color w:val="000000"/>
          <w:sz w:val="22"/>
        </w:rPr>
        <w:t> </w:t>
      </w:r>
      <w:r>
        <w:rPr>
          <w:rFonts w:ascii="Times New Roman" w:hAnsi="Times New Roman"/>
          <w:b w:val="false"/>
          <w:i w:val="false"/>
          <w:color w:val="000000"/>
          <w:sz w:val="22"/>
        </w:rPr>
        <w:t>Conservation cover.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8755B</w:t>
      </w:r>
      <w:r>
        <w:rPr>
          <w:rFonts w:ascii="Times New Roman" w:hAnsi="Times New Roman"/>
          <w:b w:val="false"/>
          <w:i w:val="false"/>
          <w:color w:val="000000"/>
          <w:sz w:val="16"/>
        </w:rPr>
        <w:t>, IAB 5/19/10, effective 7/1/10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27—12.83</w:t>
      </w:r>
      <w:r>
        <w:rPr>
          <w:rFonts w:ascii="Times New Roman" w:hAnsi="Times New Roman"/>
          <w:b/>
          <w:i w:val="false"/>
          <w:color w:val="000000"/>
          <w:sz w:val="22"/>
        </w:rPr>
        <w:t xml:space="preserve">(161C) </w:t>
      </w:r>
      <w:r>
        <w:rPr>
          <w:rFonts w:ascii="Times New Roman" w:hAnsi="Times New Roman"/>
          <w:b/>
          <w:i w:val="false"/>
          <w:color w:val="000000"/>
          <w:sz w:val="22"/>
        </w:rPr>
        <w:t xml:space="preserve">Practice standards and specifications. </w:t>
      </w:r>
      <w:r>
        <w:rPr>
          <w:rFonts w:ascii="Times New Roman" w:hAnsi="Times New Roman"/>
          <w:b w:val="false"/>
          <w:i w:val="false"/>
          <w:color w:val="000000"/>
          <w:sz w:val="22"/>
        </w:rPr>
        <w:t xml:space="preserve">Soil and water conservation practices shall meet Natural Resources Conservation Service conservation standards and specifications where applicable. These standards may be accessed through the electronic field office technical guide at </w:t>
      </w:r>
      <w:hyperlink r:id="rId29">
        <w:r>
          <w:rPr>
            <w:rStyle w:val="Hyperlink"/>
            <w:rFonts w:ascii="Times New Roman" w:hAnsi="Times New Roman"/>
            <w:b w:val="false"/>
            <w:i w:val="false"/>
            <w:color w:val="000000"/>
            <w:sz w:val="22"/>
            <w:u w:val="single"/>
          </w:rPr>
          <w:t>efotg.sc.egov.usda.gov/efotg_locator.aspx</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Tree planting, forest stand improvement, site preparation for natural regeneration and rescue treatment standards may be accessed through the department of natural resources’ forestry technical guide found at </w:t>
      </w:r>
      <w:hyperlink r:id="rId30">
        <w:r>
          <w:rPr>
            <w:rStyle w:val="Hyperlink"/>
            <w:rFonts w:ascii="Times New Roman" w:hAnsi="Times New Roman"/>
            <w:b w:val="false"/>
            <w:i w:val="false"/>
            <w:color w:val="000000"/>
            <w:sz w:val="22"/>
            <w:u w:val="single"/>
          </w:rPr>
          <w:t>www.iowadnr.gov/Portals/idnr/uploads/forestry/ForestryTechguide.pdf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Standards and specifications are also available in hard copy in the district office where the practice will be implemented. These specifications and the general conditions, rule </w:t>
      </w:r>
      <w:hyperlink r:id="rId31">
        <w:r>
          <w:rPr>
            <w:rStyle w:val="Hyperlink"/>
            <w:rFonts w:ascii="Times New Roman" w:hAnsi="Times New Roman"/>
            <w:b w:val="false"/>
            <w:i w:val="false"/>
            <w:color w:val="000000"/>
            <w:sz w:val="22"/>
          </w:rPr>
          <w:t>27—10.81</w:t>
        </w:r>
      </w:hyperlink>
      <w:r>
        <w:rPr>
          <w:rFonts w:ascii="Times New Roman" w:hAnsi="Times New Roman"/>
          <w:b w:val="false"/>
          <w:i w:val="false"/>
          <w:color w:val="000000"/>
          <w:sz w:val="22"/>
        </w:rPr>
        <w:t>(161A), shall be met in all cases. To the extent of any inconsistency between the general conditions and the specifications, the general conditions shall control.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8755B</w:t>
      </w:r>
      <w:r>
        <w:rPr>
          <w:rFonts w:ascii="Times New Roman" w:hAnsi="Times New Roman"/>
          <w:b w:val="false"/>
          <w:i w:val="false"/>
          <w:color w:val="000000"/>
          <w:sz w:val="16"/>
        </w:rPr>
        <w:t>, IAB 5/19/10,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3934C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27—12.84</w:t>
      </w:r>
      <w:r>
        <w:rPr>
          <w:rFonts w:ascii="Times New Roman" w:hAnsi="Times New Roman"/>
          <w:b/>
          <w:i w:val="false"/>
          <w:color w:val="000000"/>
          <w:sz w:val="22"/>
        </w:rPr>
        <w:t xml:space="preserve">(161C) </w:t>
      </w:r>
      <w:r>
        <w:rPr>
          <w:rFonts w:ascii="Times New Roman" w:hAnsi="Times New Roman"/>
          <w:b/>
          <w:i w:val="false"/>
          <w:color w:val="000000"/>
          <w:sz w:val="22"/>
        </w:rPr>
        <w:t xml:space="preserve">Cost-share rates. </w:t>
      </w:r>
      <w:r>
        <w:rPr>
          <w:rFonts w:ascii="Times New Roman" w:hAnsi="Times New Roman"/>
          <w:b w:val="false"/>
          <w:i w:val="false"/>
          <w:color w:val="000000"/>
          <w:sz w:val="22"/>
        </w:rPr>
        <w:t xml:space="preserve">The following cost-share rates shall apply for eligible practices designated in rule </w:t>
      </w:r>
      <w:hyperlink r:id="rId32">
        <w:r>
          <w:rPr>
            <w:rStyle w:val="Hyperlink"/>
            <w:rFonts w:ascii="Times New Roman" w:hAnsi="Times New Roman"/>
            <w:b w:val="false"/>
            <w:i w:val="false"/>
            <w:color w:val="000000"/>
            <w:sz w:val="22"/>
          </w:rPr>
          <w:t>27—12.82</w:t>
        </w:r>
      </w:hyperlink>
      <w:r>
        <w:rPr>
          <w:rFonts w:ascii="Times New Roman" w:hAnsi="Times New Roman"/>
          <w:b w:val="false"/>
          <w:i w:val="false"/>
          <w:color w:val="000000"/>
          <w:sz w:val="22"/>
        </w:rPr>
        <w:t>(161C). The use of state cost-share funds alone or in combination with other public funds shall not exceed the limits established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12.84(1)</w:t>
      </w:r>
      <w:r>
        <w:rPr>
          <w:rFonts w:ascii="Times New Roman" w:hAnsi="Times New Roman"/>
          <w:b w:val="false"/>
          <w:i w:val="false"/>
          <w:color w:val="000000"/>
          <w:sz w:val="22"/>
        </w:rPr>
        <w:t> </w:t>
      </w:r>
      <w:r>
        <w:rPr>
          <w:rFonts w:ascii="Times New Roman" w:hAnsi="Times New Roman"/>
          <w:b w:val="false"/>
          <w:i/>
          <w:color w:val="000000"/>
          <w:sz w:val="22"/>
        </w:rPr>
        <w:t xml:space="preserve">Windbreaks. </w:t>
      </w:r>
      <w:r>
        <w:rPr>
          <w:rFonts w:ascii="Times New Roman" w:hAnsi="Times New Roman"/>
          <w:b w:val="false"/>
          <w:i w:val="false"/>
          <w:color w:val="000000"/>
          <w:sz w:val="22"/>
        </w:rPr>
        <w:t>Seventy-five percent of the eligible or estimated cost, whichever is less, not to exceed $1,600 for the total cost of the establishment or restoration of the windbreak.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12.84(2)</w:t>
      </w:r>
      <w:r>
        <w:rPr>
          <w:rFonts w:ascii="Times New Roman" w:hAnsi="Times New Roman"/>
          <w:b w:val="false"/>
          <w:i w:val="false"/>
          <w:color w:val="000000"/>
          <w:sz w:val="22"/>
        </w:rPr>
        <w:t> </w:t>
      </w:r>
      <w:r>
        <w:rPr>
          <w:rFonts w:ascii="Times New Roman" w:hAnsi="Times New Roman"/>
          <w:b w:val="false"/>
          <w:i/>
          <w:color w:val="000000"/>
          <w:sz w:val="22"/>
        </w:rPr>
        <w:t xml:space="preserve">Field windbreaks. </w:t>
      </w:r>
      <w:r>
        <w:rPr>
          <w:rFonts w:ascii="Times New Roman" w:hAnsi="Times New Roman"/>
          <w:b w:val="false"/>
          <w:i w:val="false"/>
          <w:color w:val="000000"/>
          <w:sz w:val="22"/>
        </w:rPr>
        <w:t>Seventy-five percent of the eligible or estimated cost, whichever is less, not to exceed $600 per acre for the total cost of the establishment or restoration of the field windbreak.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12.84(3)</w:t>
      </w:r>
      <w:r>
        <w:rPr>
          <w:rFonts w:ascii="Times New Roman" w:hAnsi="Times New Roman"/>
          <w:b w:val="false"/>
          <w:i w:val="false"/>
          <w:color w:val="000000"/>
          <w:sz w:val="22"/>
        </w:rPr>
        <w:t> </w:t>
      </w:r>
      <w:r>
        <w:rPr>
          <w:rFonts w:ascii="Times New Roman" w:hAnsi="Times New Roman"/>
          <w:b w:val="false"/>
          <w:i/>
          <w:color w:val="000000"/>
          <w:sz w:val="22"/>
        </w:rPr>
        <w:t xml:space="preserve">Forest stand improvement. </w:t>
      </w:r>
      <w:r>
        <w:rPr>
          <w:rFonts w:ascii="Times New Roman" w:hAnsi="Times New Roman"/>
          <w:b w:val="false"/>
          <w:i w:val="false"/>
          <w:color w:val="000000"/>
          <w:sz w:val="22"/>
        </w:rPr>
        <w:t>Seventy-five percent of the eligible or estimated cost, whichever is less, not to exceed $120 per acre for prescribed woodland burning, thinning, pruning crop trees, or releasing seedlings or young trees.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12.84(4)</w:t>
      </w:r>
      <w:r>
        <w:rPr>
          <w:rFonts w:ascii="Times New Roman" w:hAnsi="Times New Roman"/>
          <w:b w:val="false"/>
          <w:i w:val="false"/>
          <w:color w:val="000000"/>
          <w:sz w:val="22"/>
        </w:rPr>
        <w:t> </w:t>
      </w:r>
      <w:r>
        <w:rPr>
          <w:rFonts w:ascii="Times New Roman" w:hAnsi="Times New Roman"/>
          <w:b w:val="false"/>
          <w:i/>
          <w:color w:val="000000"/>
          <w:sz w:val="22"/>
        </w:rPr>
        <w:t xml:space="preserve">Tree planting.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Seventy-five percent of the eligible or estimated cost, whichever is less, not to exceed $600 per acre, for tree planting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Establishing ground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Trees and tree-planting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Weed and pest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Mowing, disking, and spraying.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Seventy-five percent of the eligible or estimated cost, whichever is less, not to exceed $150 per acre for woody plant competition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12.84(5)</w:t>
      </w:r>
      <w:r>
        <w:rPr>
          <w:rFonts w:ascii="Times New Roman" w:hAnsi="Times New Roman"/>
          <w:b w:val="false"/>
          <w:i w:val="false"/>
          <w:color w:val="000000"/>
          <w:sz w:val="22"/>
        </w:rPr>
        <w:t> </w:t>
      </w:r>
      <w:r>
        <w:rPr>
          <w:rFonts w:ascii="Times New Roman" w:hAnsi="Times New Roman"/>
          <w:b w:val="false"/>
          <w:i/>
          <w:color w:val="000000"/>
          <w:sz w:val="22"/>
        </w:rPr>
        <w:t xml:space="preserve">Site preparation for natural regeneration. </w:t>
      </w:r>
      <w:r>
        <w:rPr>
          <w:rFonts w:ascii="Times New Roman" w:hAnsi="Times New Roman"/>
          <w:b w:val="false"/>
          <w:i w:val="false"/>
          <w:color w:val="000000"/>
          <w:sz w:val="22"/>
        </w:rPr>
        <w:t>Seventy-five percent of the eligible or estimated cost, whichever is less, not to exceed $120 per acre of site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12.84(6)</w:t>
      </w:r>
      <w:r>
        <w:rPr>
          <w:rFonts w:ascii="Times New Roman" w:hAnsi="Times New Roman"/>
          <w:b w:val="false"/>
          <w:i w:val="false"/>
          <w:color w:val="000000"/>
          <w:sz w:val="22"/>
        </w:rPr>
        <w:t> </w:t>
      </w:r>
      <w:r>
        <w:rPr>
          <w:rFonts w:ascii="Times New Roman" w:hAnsi="Times New Roman"/>
          <w:b w:val="false"/>
          <w:i/>
          <w:color w:val="000000"/>
          <w:sz w:val="22"/>
        </w:rPr>
        <w:t xml:space="preserve">Riparian forest buffer. </w:t>
      </w:r>
      <w:r>
        <w:rPr>
          <w:rFonts w:ascii="Times New Roman" w:hAnsi="Times New Roman"/>
          <w:b w:val="false"/>
          <w:i w:val="false"/>
          <w:color w:val="000000"/>
          <w:sz w:val="22"/>
        </w:rPr>
        <w:t>Seventy-five percent of the eligible or estimated cost, whichever is 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12.84(7)</w:t>
      </w:r>
      <w:r>
        <w:rPr>
          <w:rFonts w:ascii="Times New Roman" w:hAnsi="Times New Roman"/>
          <w:b w:val="false"/>
          <w:i w:val="false"/>
          <w:color w:val="000000"/>
          <w:sz w:val="22"/>
        </w:rPr>
        <w:t> </w:t>
      </w:r>
      <w:r>
        <w:rPr>
          <w:rFonts w:ascii="Times New Roman" w:hAnsi="Times New Roman"/>
          <w:b w:val="false"/>
          <w:i/>
          <w:color w:val="000000"/>
          <w:sz w:val="22"/>
        </w:rPr>
        <w:t xml:space="preserve">Rescue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Seventy-five percent of the eligible or estimated cost, whichever is less, not to exceed $60 per acre to establish alternate cover for competition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one-time payment of 75 percent of the eligible or estimated cost, whichever is less, not to exceed $15 per acre to control damaging rodent populations.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Seventy-five percent of the eligible or estimated cost, whichever is less, not to exceed $600 per acre, for plantation replanting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Establishing ground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Trees and tree planting,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Weed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12.84(8)</w:t>
      </w:r>
      <w:r>
        <w:rPr>
          <w:rFonts w:ascii="Times New Roman" w:hAnsi="Times New Roman"/>
          <w:b w:val="false"/>
          <w:i w:val="false"/>
          <w:color w:val="000000"/>
          <w:sz w:val="22"/>
        </w:rPr>
        <w:t> </w:t>
      </w:r>
      <w:r>
        <w:rPr>
          <w:rFonts w:ascii="Times New Roman" w:hAnsi="Times New Roman"/>
          <w:b w:val="false"/>
          <w:i/>
          <w:color w:val="000000"/>
          <w:sz w:val="22"/>
        </w:rPr>
        <w:t xml:space="preserve">Prescribed grazing. </w:t>
      </w:r>
      <w:r>
        <w:rPr>
          <w:rFonts w:ascii="Times New Roman" w:hAnsi="Times New Roman"/>
          <w:b w:val="false"/>
          <w:i w:val="false"/>
          <w:color w:val="000000"/>
          <w:sz w:val="22"/>
        </w:rPr>
        <w:t>Seventy-five percent of the eligible or estimated cost, whichever is less. Systems must include at least two paddocks of native species grasses. Development of a water source is not eligible. Boundary fences or road fences are not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12.84(9)</w:t>
      </w:r>
      <w:r>
        <w:rPr>
          <w:rFonts w:ascii="Times New Roman" w:hAnsi="Times New Roman"/>
          <w:b w:val="false"/>
          <w:i w:val="false"/>
          <w:color w:val="000000"/>
          <w:sz w:val="22"/>
        </w:rPr>
        <w:t> </w:t>
      </w:r>
      <w:r>
        <w:rPr>
          <w:rFonts w:ascii="Times New Roman" w:hAnsi="Times New Roman"/>
          <w:b w:val="false"/>
          <w:i/>
          <w:color w:val="000000"/>
          <w:sz w:val="22"/>
        </w:rPr>
        <w:t xml:space="preserve">Conservation cover. </w:t>
      </w:r>
      <w:r>
        <w:rPr>
          <w:rFonts w:ascii="Times New Roman" w:hAnsi="Times New Roman"/>
          <w:b w:val="false"/>
          <w:i w:val="false"/>
          <w:color w:val="000000"/>
          <w:sz w:val="22"/>
        </w:rPr>
        <w:t>Seventy-five percent of the eligible or estimated cost, whichever is 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12.84(10)</w:t>
      </w:r>
      <w:r>
        <w:rPr>
          <w:rFonts w:ascii="Times New Roman" w:hAnsi="Times New Roman"/>
          <w:b w:val="false"/>
          <w:i w:val="false"/>
          <w:color w:val="000000"/>
          <w:sz w:val="22"/>
        </w:rPr>
        <w:t> </w:t>
      </w:r>
      <w:r>
        <w:rPr>
          <w:rFonts w:ascii="Times New Roman" w:hAnsi="Times New Roman"/>
          <w:b w:val="false"/>
          <w:i/>
          <w:color w:val="000000"/>
          <w:sz w:val="22"/>
        </w:rPr>
        <w:t xml:space="preserve">Fencing systems. </w:t>
      </w:r>
      <w:r>
        <w:rPr>
          <w:rFonts w:ascii="Times New Roman" w:hAnsi="Times New Roman"/>
          <w:b w:val="false"/>
          <w:i w:val="false"/>
          <w:color w:val="000000"/>
          <w:sz w:val="22"/>
        </w:rPr>
        <w:t xml:space="preserve">Fencing systems used to implement or protect a conservation practice described in rule </w:t>
      </w:r>
      <w:hyperlink r:id="rId33">
        <w:r>
          <w:rPr>
            <w:rStyle w:val="Hyperlink"/>
            <w:rFonts w:ascii="Times New Roman" w:hAnsi="Times New Roman"/>
            <w:b w:val="false"/>
            <w:i w:val="false"/>
            <w:color w:val="000000"/>
            <w:sz w:val="22"/>
          </w:rPr>
          <w:t>27—12.82</w:t>
        </w:r>
      </w:hyperlink>
      <w:r>
        <w:rPr>
          <w:rFonts w:ascii="Times New Roman" w:hAnsi="Times New Roman"/>
          <w:b w:val="false"/>
          <w:i w:val="false"/>
          <w:color w:val="000000"/>
          <w:sz w:val="22"/>
        </w:rPr>
        <w:t>(161C) are eligible for the lesser of 75 percent of the eligible or estimated cost. The fencing costs cannot exceed $14 per rod for permanent fencing or $5 per rod for temporary electric fencing. Fences along roads or land boundaries are not eligible.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8755B</w:t>
      </w:r>
      <w:r>
        <w:rPr>
          <w:rFonts w:ascii="Times New Roman" w:hAnsi="Times New Roman"/>
          <w:b w:val="false"/>
          <w:i w:val="false"/>
          <w:color w:val="000000"/>
          <w:sz w:val="16"/>
        </w:rPr>
        <w:t>, IAB 5/19/10,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3244C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i w:val="false"/>
          <w:color w:val="000000"/>
          <w:sz w:val="16"/>
        </w:rPr>
        <w:t>ARC 4340C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27—12.85</w:t>
      </w:r>
      <w:r>
        <w:rPr>
          <w:rFonts w:ascii="Times New Roman" w:hAnsi="Times New Roman"/>
          <w:b/>
          <w:i w:val="false"/>
          <w:color w:val="000000"/>
          <w:sz w:val="22"/>
        </w:rPr>
        <w:t xml:space="preserve">(161C) </w:t>
      </w:r>
      <w:r>
        <w:rPr>
          <w:rFonts w:ascii="Times New Roman" w:hAnsi="Times New Roman"/>
          <w:b/>
          <w:i w:val="false"/>
          <w:color w:val="000000"/>
          <w:sz w:val="22"/>
        </w:rPr>
        <w:t xml:space="preserve">Special practice and cost-share procedures eligibility. </w:t>
      </w:r>
      <w:r>
        <w:rPr>
          <w:rFonts w:ascii="Times New Roman" w:hAnsi="Times New Roman"/>
          <w:b w:val="false"/>
          <w:i w:val="false"/>
          <w:color w:val="000000"/>
          <w:sz w:val="22"/>
        </w:rPr>
        <w:t>Districts may submit requests to establish eligible practices, develop cost-share procedures, experiment with new conservation practices and explore new technologies with approval of the state soil conservation and water quality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12.85(1)</w:t>
      </w:r>
      <w:r>
        <w:rPr>
          <w:rFonts w:ascii="Times New Roman" w:hAnsi="Times New Roman"/>
          <w:b w:val="false"/>
          <w:i w:val="false"/>
          <w:color w:val="000000"/>
          <w:sz w:val="22"/>
        </w:rPr>
        <w:t> </w:t>
      </w:r>
      <w:r>
        <w:rPr>
          <w:rFonts w:ascii="Times New Roman" w:hAnsi="Times New Roman"/>
          <w:b w:val="false"/>
          <w:i/>
          <w:color w:val="000000"/>
          <w:sz w:val="22"/>
        </w:rPr>
        <w:t xml:space="preserve">District designation. </w:t>
      </w:r>
      <w:r>
        <w:rPr>
          <w:rFonts w:ascii="Times New Roman" w:hAnsi="Times New Roman"/>
          <w:b w:val="false"/>
          <w:i w:val="false"/>
          <w:color w:val="000000"/>
          <w:sz w:val="22"/>
        </w:rPr>
        <w:t>Districts shall submit to the state soil conservation and water quality committee the description of their intentions, which could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Type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Cost-share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Resource to be protected.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Estimated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Landowner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Technology to be addressed.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12.85(2)</w:t>
      </w:r>
      <w:r>
        <w:rPr>
          <w:rFonts w:ascii="Times New Roman" w:hAnsi="Times New Roman"/>
          <w:b w:val="false"/>
          <w:i w:val="false"/>
          <w:color w:val="000000"/>
          <w:sz w:val="22"/>
        </w:rPr>
        <w:t> </w:t>
      </w:r>
      <w:r>
        <w:rPr>
          <w:rFonts w:ascii="Times New Roman" w:hAnsi="Times New Roman"/>
          <w:b w:val="false"/>
          <w:i/>
          <w:color w:val="000000"/>
          <w:sz w:val="22"/>
        </w:rPr>
        <w:t xml:space="preserve">State soil conservation and water quality committee evaluation. </w:t>
      </w:r>
      <w:r>
        <w:rPr>
          <w:rFonts w:ascii="Times New Roman" w:hAnsi="Times New Roman"/>
          <w:b w:val="false"/>
          <w:i w:val="false"/>
          <w:color w:val="000000"/>
          <w:sz w:val="22"/>
        </w:rPr>
        <w:t xml:space="preserve">The state soil conservation and water quality committee shall examine the district submission under </w:t>
      </w:r>
      <w:hyperlink r:id="rId34">
        <w:r>
          <w:rPr>
            <w:rStyle w:val="Hyperlink"/>
            <w:rFonts w:ascii="Times New Roman" w:hAnsi="Times New Roman"/>
            <w:b w:val="false"/>
            <w:i w:val="false"/>
            <w:color w:val="000000"/>
            <w:sz w:val="22"/>
          </w:rPr>
          <w:t>12.85(1)</w:t>
        </w:r>
      </w:hyperlink>
      <w:r>
        <w:rPr>
          <w:rFonts w:ascii="Times New Roman" w:hAnsi="Times New Roman"/>
          <w:b w:val="false"/>
          <w:i w:val="false"/>
          <w:color w:val="000000"/>
          <w:sz w:val="22"/>
        </w:rPr>
        <w:t xml:space="preserve"> with respect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public and current use of the resource to be protected.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nature, extent, and severity of the problem to be addressed.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degree to which the request focuses practice or technology application in a manner that will achieve a soil erosion or water quality benefit from the funds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a specification can be developed by NRCS or DNR for the new technology or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12.85(3)</w:t>
      </w:r>
      <w:r>
        <w:rPr>
          <w:rFonts w:ascii="Times New Roman" w:hAnsi="Times New Roman"/>
          <w:b w:val="false"/>
          <w:i w:val="false"/>
          <w:color w:val="000000"/>
          <w:sz w:val="22"/>
        </w:rPr>
        <w:t> </w:t>
      </w:r>
      <w:r>
        <w:rPr>
          <w:rFonts w:ascii="Times New Roman" w:hAnsi="Times New Roman"/>
          <w:b w:val="false"/>
          <w:i/>
          <w:color w:val="000000"/>
          <w:sz w:val="22"/>
        </w:rPr>
        <w:t xml:space="preserve">Review time limit. </w:t>
      </w:r>
      <w:r>
        <w:rPr>
          <w:rFonts w:ascii="Times New Roman" w:hAnsi="Times New Roman"/>
          <w:b w:val="false"/>
          <w:i w:val="false"/>
          <w:color w:val="000000"/>
          <w:sz w:val="22"/>
        </w:rPr>
        <w:t>The state soil conservation and water quality committee shall approve or disapprove the district designation within 90 days of receipt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12.85(4)</w:t>
      </w:r>
      <w:r>
        <w:rPr>
          <w:rFonts w:ascii="Times New Roman" w:hAnsi="Times New Roman"/>
          <w:b w:val="false"/>
          <w:i w:val="false"/>
          <w:color w:val="000000"/>
          <w:sz w:val="22"/>
        </w:rPr>
        <w:t> </w:t>
      </w:r>
      <w:r>
        <w:rPr>
          <w:rFonts w:ascii="Times New Roman" w:hAnsi="Times New Roman"/>
          <w:b w:val="false"/>
          <w:i/>
          <w:color w:val="000000"/>
          <w:sz w:val="22"/>
        </w:rPr>
        <w:t xml:space="preserve">Disapproval of designation. </w:t>
      </w:r>
      <w:r>
        <w:rPr>
          <w:rFonts w:ascii="Times New Roman" w:hAnsi="Times New Roman"/>
          <w:b w:val="false"/>
          <w:i w:val="false"/>
          <w:color w:val="000000"/>
          <w:sz w:val="22"/>
        </w:rPr>
        <w:t>In the event of disapproval of district requests, the state soil conservation and water quality committee shall inform the district of the reason for disapproval.</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35">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161C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3243C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27—12.86</w:t>
      </w:r>
      <w:r>
        <w:rPr>
          <w:rFonts w:ascii="Times New Roman" w:hAnsi="Times New Roman"/>
          <w:b w:val="false"/>
          <w:i w:val="false"/>
          <w:color w:val="000000"/>
          <w:sz w:val="22"/>
        </w:rPr>
        <w:t xml:space="preserve"> to </w:t>
      </w:r>
      <w:r>
        <w:rPr>
          <w:rFonts w:ascii="Times New Roman" w:hAnsi="Times New Roman"/>
          <w:b/>
          <w:i w:val="false"/>
          <w:color w:val="000000"/>
          <w:sz w:val="22"/>
        </w:rPr>
        <w:t>12.89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9</w:t>
      </w:r>
    </w:p>
    <w:p>
      <w:pPr>
        <w:spacing w:before="210" w:after="0"/>
        <w:ind w:left="120"/>
        <w:jc w:val="both"/>
      </w:pPr>
      <w:r>
        <w:rPr>
          <w:rFonts w:ascii="Times New Roman" w:hAnsi="Times New Roman"/>
          <w:b/>
          <w:i w:val="false"/>
          <w:color w:val="000000"/>
          <w:sz w:val="22"/>
        </w:rPr>
        <w:t>27—12.90</w:t>
      </w:r>
      <w:r>
        <w:rPr>
          <w:rFonts w:ascii="Times New Roman" w:hAnsi="Times New Roman"/>
          <w:b/>
          <w:i w:val="false"/>
          <w:color w:val="000000"/>
          <w:sz w:val="22"/>
        </w:rPr>
        <w:t xml:space="preserve">(161C,312) </w:t>
      </w:r>
      <w:r>
        <w:rPr>
          <w:rFonts w:ascii="Times New Roman" w:hAnsi="Times New Roman"/>
          <w:b/>
          <w:i w:val="false"/>
          <w:color w:val="000000"/>
          <w:sz w:val="22"/>
        </w:rPr>
        <w:t xml:space="preserve">Reporting and accounting. </w:t>
      </w:r>
      <w:r>
        <w:rPr>
          <w:rFonts w:ascii="Times New Roman" w:hAnsi="Times New Roman"/>
          <w:b w:val="false"/>
          <w:i w:val="false"/>
          <w:color w:val="000000"/>
          <w:sz w:val="22"/>
        </w:rPr>
        <w:t xml:space="preserve">Reports will be prepared in the same manner as provided in rule </w:t>
      </w:r>
      <w:hyperlink r:id="rId37">
        <w:r>
          <w:rPr>
            <w:rStyle w:val="Hyperlink"/>
            <w:rFonts w:ascii="Times New Roman" w:hAnsi="Times New Roman"/>
            <w:b w:val="false"/>
            <w:i w:val="false"/>
            <w:color w:val="000000"/>
            <w:sz w:val="22"/>
          </w:rPr>
          <w:t>27—10.91</w:t>
        </w:r>
      </w:hyperlink>
      <w:r>
        <w:rPr>
          <w:rFonts w:ascii="Times New Roman" w:hAnsi="Times New Roman"/>
          <w:b w:val="false"/>
          <w:i w:val="false"/>
          <w:color w:val="000000"/>
          <w:sz w:val="22"/>
        </w:rPr>
        <w:t>(161A).</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8">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161C</w:t>
        </w:r>
      </w:hyperlink>
      <w:r>
        <w:rPr>
          <w:rFonts w:ascii="Times New Roman" w:hAnsi="Times New Roman"/>
          <w:b w:val="false"/>
          <w:i w:val="false"/>
          <w:color w:val="000000"/>
          <w:sz w:val="22"/>
        </w:rPr>
        <w:t xml:space="preserve"> and Iowa Code section </w:t>
      </w:r>
      <w:hyperlink r:id="rId40">
        <w:r>
          <w:rPr>
            <w:rStyle w:val="Hyperlink"/>
            <w:rFonts w:ascii="Times New Roman" w:hAnsi="Times New Roman"/>
            <w:b w:val="false"/>
            <w:i w:val="false"/>
            <w:color w:val="000000"/>
            <w:sz w:val="22"/>
          </w:rPr>
          <w:t>455A.19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12/8/89, Notice 10/18/89—published 12/27/89, effective 1/31/90]</w:t>
      </w:r>
    </w:p>
    <w:p>
      <w:pPr>
        <w:spacing w:before="0" w:after="0"/>
        <w:ind w:left="120"/>
        <w:jc w:val="center"/>
      </w:pPr>
      <w:r>
        <w:rPr>
          <w:rFonts w:ascii="Times New Roman" w:hAnsi="Times New Roman"/>
          <w:b w:val="false"/>
          <w:i w:val="false"/>
          <w:color w:val="000000"/>
          <w:sz w:val="21"/>
        </w:rPr>
        <w:t>[Filed emergency 7/6/90 after Notice 5/30/90—published 7/25/90, effective 7/6/90]</w:t>
      </w:r>
    </w:p>
    <w:p>
      <w:pPr>
        <w:spacing w:before="0" w:after="0"/>
        <w:ind w:left="120"/>
        <w:jc w:val="center"/>
      </w:pPr>
      <w:r>
        <w:rPr>
          <w:rFonts w:ascii="Times New Roman" w:hAnsi="Times New Roman"/>
          <w:b w:val="false"/>
          <w:i w:val="false"/>
          <w:color w:val="000000"/>
          <w:sz w:val="21"/>
        </w:rPr>
        <w:t>[Filed 4/12/91, Notice 3/6/91—published 5/1/91, effective 6/5/91]</w:t>
      </w:r>
    </w:p>
    <w:p>
      <w:pPr>
        <w:spacing w:before="0" w:after="0"/>
        <w:ind w:left="120"/>
        <w:jc w:val="center"/>
      </w:pPr>
      <w:r>
        <w:rPr>
          <w:rFonts w:ascii="Times New Roman" w:hAnsi="Times New Roman"/>
          <w:b w:val="false"/>
          <w:i w:val="false"/>
          <w:color w:val="000000"/>
          <w:sz w:val="21"/>
        </w:rPr>
        <w:t>[Filed 12/12/97, Notice 10/8/97—published 12/31/97, effective 2/4/98]</w:t>
      </w:r>
    </w:p>
    <w:p>
      <w:pPr>
        <w:spacing w:before="0" w:after="0"/>
        <w:ind w:left="120"/>
        <w:jc w:val="center"/>
      </w:pPr>
      <w:r>
        <w:rPr>
          <w:rFonts w:ascii="Times New Roman" w:hAnsi="Times New Roman"/>
          <w:b w:val="false"/>
          <w:i w:val="false"/>
          <w:color w:val="000000"/>
          <w:sz w:val="21"/>
        </w:rPr>
        <w:t>[Filed 4/13/99, Notice 3/10/99—published 5/5/99, effective 6/15/99]</w:t>
      </w:r>
    </w:p>
    <w:p>
      <w:pPr>
        <w:spacing w:before="0" w:after="0"/>
        <w:ind w:left="120"/>
        <w:jc w:val="center"/>
      </w:pPr>
      <w:r>
        <w:rPr>
          <w:rFonts w:ascii="Times New Roman" w:hAnsi="Times New Roman"/>
          <w:b w:val="false"/>
          <w:i w:val="false"/>
          <w:color w:val="000000"/>
          <w:sz w:val="21"/>
        </w:rPr>
        <w:t>[Filed 8/3/01, Notice 6/27/01—published 8/22/01, effective 9/26/01]</w:t>
      </w:r>
    </w:p>
    <w:p>
      <w:pPr>
        <w:spacing w:before="0" w:after="0"/>
        <w:ind w:left="120"/>
        <w:jc w:val="center"/>
      </w:pPr>
      <w:r>
        <w:rPr>
          <w:rFonts w:ascii="Times New Roman" w:hAnsi="Times New Roman"/>
          <w:b w:val="false"/>
          <w:i w:val="false"/>
          <w:color w:val="000000"/>
          <w:sz w:val="21"/>
        </w:rPr>
        <w:t>[Filed emergency 6/27/07 after Notice 5/23/07—published 7/18/07, effective 6/27/07]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6/26/08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6/26/08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8755B</w:t>
      </w:r>
      <w:r>
        <w:rPr>
          <w:rFonts w:ascii="Times New Roman" w:hAnsi="Times New Roman"/>
          <w:b w:val="false"/>
          <w:i w:val="false"/>
          <w:color w:val="000000"/>
          <w:sz w:val="21"/>
        </w:rPr>
        <w:t xml:space="preserve"> (Notice ARC 8633B, IAB 3/24/10)</w:t>
      </w:r>
      <w:r>
        <w:rPr>
          <w:rFonts w:ascii="Times New Roman" w:hAnsi="Times New Roman"/>
          <w:b w:val="false"/>
          <w:i w:val="false"/>
          <w:color w:val="000000"/>
          <w:sz w:val="21"/>
        </w:rPr>
        <w:t>, IAB 5/19/10, effective 7/1/10]</w:t>
      </w:r>
    </w:p>
    <w:p>
      <w:pPr>
        <w:spacing w:before="0" w:after="0"/>
        <w:ind w:left="120"/>
        <w:jc w:val="center"/>
      </w:pPr>
      <w:r>
        <w:rPr>
          <w:rFonts w:ascii="Times New Roman" w:hAnsi="Times New Roman"/>
          <w:b w:val="false"/>
          <w:i w:val="false"/>
          <w:color w:val="000000"/>
          <w:sz w:val="21"/>
        </w:rPr>
        <w:t>[Filed ARC 0737C</w:t>
      </w:r>
      <w:r>
        <w:rPr>
          <w:rFonts w:ascii="Times New Roman" w:hAnsi="Times New Roman"/>
          <w:b w:val="false"/>
          <w:i w:val="false"/>
          <w:color w:val="000000"/>
          <w:sz w:val="21"/>
        </w:rPr>
        <w:t xml:space="preserve"> (Notice ARC 0655C, IAB 3/20/13)</w:t>
      </w:r>
      <w:r>
        <w:rPr>
          <w:rFonts w:ascii="Times New Roman" w:hAnsi="Times New Roman"/>
          <w:b w:val="false"/>
          <w:i w:val="false"/>
          <w:color w:val="000000"/>
          <w:sz w:val="21"/>
        </w:rPr>
        <w:t>, IAB 5/15/13, effective 7/1/13]</w:t>
      </w:r>
    </w:p>
    <w:p>
      <w:pPr>
        <w:spacing w:before="0" w:after="0"/>
        <w:ind w:left="120"/>
        <w:jc w:val="center"/>
      </w:pPr>
      <w:r>
        <w:rPr>
          <w:rFonts w:ascii="Times New Roman" w:hAnsi="Times New Roman"/>
          <w:b w:val="false"/>
          <w:i w:val="false"/>
          <w:color w:val="000000"/>
          <w:sz w:val="21"/>
        </w:rPr>
        <w:t>[Filed ARC 2192C</w:t>
      </w:r>
      <w:r>
        <w:rPr>
          <w:rFonts w:ascii="Times New Roman" w:hAnsi="Times New Roman"/>
          <w:b w:val="false"/>
          <w:i w:val="false"/>
          <w:color w:val="000000"/>
          <w:sz w:val="21"/>
        </w:rPr>
        <w:t xml:space="preserve"> (Notice ARC 2102C, IAB 8/19/15)</w:t>
      </w:r>
      <w:r>
        <w:rPr>
          <w:rFonts w:ascii="Times New Roman" w:hAnsi="Times New Roman"/>
          <w:b w:val="false"/>
          <w:i w:val="false"/>
          <w:color w:val="000000"/>
          <w:sz w:val="21"/>
        </w:rPr>
        <w:t>, IAB 10/14/15, effective 11/18/15]</w:t>
      </w:r>
    </w:p>
    <w:p>
      <w:pPr>
        <w:spacing w:before="0" w:after="0"/>
        <w:ind w:left="120"/>
        <w:jc w:val="center"/>
      </w:pPr>
      <w:r>
        <w:rPr>
          <w:rFonts w:ascii="Times New Roman" w:hAnsi="Times New Roman"/>
          <w:b w:val="false"/>
          <w:i w:val="false"/>
          <w:color w:val="000000"/>
          <w:sz w:val="21"/>
        </w:rPr>
        <w:t>[Filed ARC 3243C</w:t>
      </w:r>
      <w:r>
        <w:rPr>
          <w:rFonts w:ascii="Times New Roman" w:hAnsi="Times New Roman"/>
          <w:b w:val="false"/>
          <w:i w:val="false"/>
          <w:color w:val="000000"/>
          <w:sz w:val="21"/>
        </w:rPr>
        <w:t xml:space="preserve"> (Notice ARC 3086C, IAB 6/7/17)</w:t>
      </w:r>
      <w:r>
        <w:rPr>
          <w:rFonts w:ascii="Times New Roman" w:hAnsi="Times New Roman"/>
          <w:b w:val="false"/>
          <w:i w:val="false"/>
          <w:color w:val="000000"/>
          <w:sz w:val="21"/>
        </w:rPr>
        <w:t>, IAB 8/2/17, effective 9/6/17]</w:t>
      </w:r>
      <w:r>
        <w:br/>
      </w:r>
      <w:r>
        <w:rPr>
          <w:rFonts w:ascii="Times New Roman" w:hAnsi="Times New Roman"/>
          <w:b w:val="false"/>
          <w:i w:val="false"/>
          <w:color w:val="000000"/>
          <w:sz w:val="21"/>
        </w:rPr>
        <w:t>[Filed ARC 3244C</w:t>
      </w:r>
      <w:r>
        <w:rPr>
          <w:rFonts w:ascii="Times New Roman" w:hAnsi="Times New Roman"/>
          <w:b w:val="false"/>
          <w:i w:val="false"/>
          <w:color w:val="000000"/>
          <w:sz w:val="21"/>
        </w:rPr>
        <w:t xml:space="preserve"> (Notice ARC 3112C, IAB 6/7/17)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3934C</w:t>
      </w:r>
      <w:r>
        <w:rPr>
          <w:rFonts w:ascii="Times New Roman" w:hAnsi="Times New Roman"/>
          <w:b w:val="false"/>
          <w:i w:val="false"/>
          <w:color w:val="000000"/>
          <w:sz w:val="21"/>
        </w:rPr>
        <w:t xml:space="preserve"> (Notice ARC 3819C, IAB 6/6/18)</w:t>
      </w:r>
      <w:r>
        <w:rPr>
          <w:rFonts w:ascii="Times New Roman" w:hAnsi="Times New Roman"/>
          <w:b w:val="false"/>
          <w:i w:val="false"/>
          <w:color w:val="000000"/>
          <w:sz w:val="21"/>
        </w:rPr>
        <w:t>, IAB 8/1/18, effective 9/5/18]</w:t>
      </w:r>
    </w:p>
    <w:p>
      <w:pPr>
        <w:spacing w:before="0" w:after="0"/>
        <w:ind w:left="120"/>
        <w:jc w:val="center"/>
      </w:pPr>
      <w:r>
        <w:rPr>
          <w:rFonts w:ascii="Times New Roman" w:hAnsi="Times New Roman"/>
          <w:b w:val="false"/>
          <w:i w:val="false"/>
          <w:color w:val="000000"/>
          <w:sz w:val="21"/>
        </w:rPr>
        <w:t>[Filed ARC 4340C</w:t>
      </w:r>
      <w:r>
        <w:rPr>
          <w:rFonts w:ascii="Times New Roman" w:hAnsi="Times New Roman"/>
          <w:b w:val="false"/>
          <w:i w:val="false"/>
          <w:color w:val="000000"/>
          <w:sz w:val="21"/>
        </w:rPr>
        <w:t xml:space="preserve"> (Notice ARC 4235C, IAB 1/16/19)</w:t>
      </w:r>
      <w:r>
        <w:rPr>
          <w:rFonts w:ascii="Times New Roman" w:hAnsi="Times New Roman"/>
          <w:b w:val="false"/>
          <w:i w:val="false"/>
          <w:color w:val="000000"/>
          <w:sz w:val="21"/>
        </w:rPr>
        <w:t>, IAB 3/13/19, effective 4/17/19]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1C.4.pdf" Type="http://schemas.openxmlformats.org/officeDocument/2006/relationships/hyperlink" Id="rId5"/>
    <Relationship TargetMode="External" Target="https://www.legis.iowa.gov/docs/iac/rule/27.10.20.pdf" Type="http://schemas.openxmlformats.org/officeDocument/2006/relationships/hyperlink" Id="rId6"/>
    <Relationship TargetMode="External" Target="https://www.legis.iowa.gov/docs/iac/rule/27.10.30.pdf" Type="http://schemas.openxmlformats.org/officeDocument/2006/relationships/hyperlink" Id="rId7"/>
    <Relationship TargetMode="External" Target="https://www.legis.iowa.gov/docs/iac/rule/27.10.33.pdf" Type="http://schemas.openxmlformats.org/officeDocument/2006/relationships/hyperlink" Id="rId8"/>
    <Relationship TargetMode="External" Target="https://www.legis.iowa.gov/docs/iac/rule/27.12.51.pdf" Type="http://schemas.openxmlformats.org/officeDocument/2006/relationships/hyperlink" Id="rId9"/>
    <Relationship TargetMode="External" Target="https://www.legis.iowa.gov/docs/iac/rule/27.12.82.pdf" Type="http://schemas.openxmlformats.org/officeDocument/2006/relationships/hyperlink" Id="rId10"/>
    <Relationship TargetMode="External" Target="https://www.legis.iowa.gov/docs/ico/chapter/161C.pdf" Type="http://schemas.openxmlformats.org/officeDocument/2006/relationships/hyperlink" Id="rId11"/>
    <Relationship TargetMode="External" Target="https://www.legis.iowa.gov/docs/iac/rule/27.12.75.pdf" Type="http://schemas.openxmlformats.org/officeDocument/2006/relationships/hyperlink" Id="rId12"/>
    <Relationship TargetMode="External" Target="https://www.legis.iowa.gov/docs/ico/chapter/159.29.pdf" Type="http://schemas.openxmlformats.org/officeDocument/2006/relationships/hyperlink" Id="rId13"/>
    <Relationship TargetMode="External" Target="https://www.legis.iowa.gov/docs/iac/rule/27.12.73.pdf" Type="http://schemas.openxmlformats.org/officeDocument/2006/relationships/hyperlink" Id="rId14"/>
    <Relationship TargetMode="External" Target="https://www.legis.iowa.gov/docs/iac/rule/27.12.73.pdf" Type="http://schemas.openxmlformats.org/officeDocument/2006/relationships/hyperlink" Id="rId15"/>
    <Relationship TargetMode="External" Target="https://www.legis.iowa.gov/docs/iac/rule/27.12.75.pdf" Type="http://schemas.openxmlformats.org/officeDocument/2006/relationships/hyperlink" Id="rId16"/>
    <Relationship TargetMode="External" Target="https://www.legis.iowa.gov/docs/iac/rule/27.10.84.pdf" Type="http://schemas.openxmlformats.org/officeDocument/2006/relationships/hyperlink" Id="rId17"/>
    <Relationship TargetMode="External" Target="https://www.legis.iowa.gov/docs/iac/chapter/567.39.pdf" Type="http://schemas.openxmlformats.org/officeDocument/2006/relationships/hyperlink" Id="rId18"/>
    <Relationship TargetMode="External" Target="https://www.legis.iowa.gov/docs/iac/chapter/567.39.pdf" Type="http://schemas.openxmlformats.org/officeDocument/2006/relationships/hyperlink" Id="rId19"/>
    <Relationship TargetMode="External" Target="https://www.legis.iowa.gov/docs/iac/rule/27.12.72.pdf" Type="http://schemas.openxmlformats.org/officeDocument/2006/relationships/hyperlink" Id="rId20"/>
    <Relationship TargetMode="External" Target="https://www.legis.iowa.gov/docs/iac/rule/27.12.74.pdf" Type="http://schemas.openxmlformats.org/officeDocument/2006/relationships/hyperlink" Id="rId21"/>
    <Relationship TargetMode="External" Target="https://www.legis.iowa.gov/docs/iac/rule/27.12.72.pdf" Type="http://schemas.openxmlformats.org/officeDocument/2006/relationships/hyperlink" Id="rId22"/>
    <Relationship TargetMode="External" Target="https://www.legis.iowa.gov/docs/iac/rule/27.12.72.pdf" Type="http://schemas.openxmlformats.org/officeDocument/2006/relationships/hyperlink" Id="rId23"/>
    <Relationship TargetMode="External" Target="https://www.legis.iowa.gov/docs/iac/rule/27.12.72.pdf" Type="http://schemas.openxmlformats.org/officeDocument/2006/relationships/hyperlink" Id="rId24"/>
    <Relationship TargetMode="External" Target="https://www.legis.iowa.gov/docs/iac/rule/27.12.72.pdf" Type="http://schemas.openxmlformats.org/officeDocument/2006/relationships/hyperlink" Id="rId25"/>
    <Relationship TargetMode="External" Target="https://www.legis.iowa.gov/docs/iac/rule/27.12.73.pdf" Type="http://schemas.openxmlformats.org/officeDocument/2006/relationships/hyperlink" Id="rId26"/>
    <Relationship TargetMode="External" Target="https://www.legis.iowa.gov/docs/iac/rule/27.12.74.pdf" Type="http://schemas.openxmlformats.org/officeDocument/2006/relationships/hyperlink" Id="rId27"/>
    <Relationship TargetMode="External" Target="https://www.legis.iowa.gov/docs/ico/chapter/161C.pdf" Type="http://schemas.openxmlformats.org/officeDocument/2006/relationships/hyperlink" Id="rId28"/>
    <Relationship TargetMode="External" Target="http://efotg.sc.egov.usda.gov/efotg_locator.aspx" Type="http://schemas.openxmlformats.org/officeDocument/2006/relationships/hyperlink" Id="rId29"/>
    <Relationship TargetMode="External" Target="http://www.iowadnr.gov/Portals/idnr/uploads/forestry/ForestryTechguide.pdf" Type="http://schemas.openxmlformats.org/officeDocument/2006/relationships/hyperlink" Id="rId30"/>
    <Relationship TargetMode="External" Target="https://www.legis.iowa.gov/docs/iac/rule/27.10.81.pdf" Type="http://schemas.openxmlformats.org/officeDocument/2006/relationships/hyperlink" Id="rId31"/>
    <Relationship TargetMode="External" Target="https://www.legis.iowa.gov/docs/iac/rule/27.12.82.pdf" Type="http://schemas.openxmlformats.org/officeDocument/2006/relationships/hyperlink" Id="rId32"/>
    <Relationship TargetMode="External" Target="https://www.legis.iowa.gov/docs/iac/rule/27.12.82.pdf" Type="http://schemas.openxmlformats.org/officeDocument/2006/relationships/hyperlink" Id="rId33"/>
    <Relationship TargetMode="External" Target="https://www.legis.iowa.gov/docs/iac/rule/27.12.85.pdf" Type="http://schemas.openxmlformats.org/officeDocument/2006/relationships/hyperlink" Id="rId34"/>
    <Relationship TargetMode="External" Target="https://www.legis.iowa.gov/docs/ico/chapter/161A.pdf" Type="http://schemas.openxmlformats.org/officeDocument/2006/relationships/hyperlink" Id="rId35"/>
    <Relationship TargetMode="External" Target="https://www.legis.iowa.gov/docs/ico/chapter/161C.pdf" Type="http://schemas.openxmlformats.org/officeDocument/2006/relationships/hyperlink" Id="rId36"/>
    <Relationship TargetMode="External" Target="https://www.legis.iowa.gov/docs/iac/rule/27.10.91.pdf" Type="http://schemas.openxmlformats.org/officeDocument/2006/relationships/hyperlink" Id="rId37"/>
    <Relationship TargetMode="External" Target="https://www.legis.iowa.gov/docs/ico/chapter/161A.pdf" Type="http://schemas.openxmlformats.org/officeDocument/2006/relationships/hyperlink" Id="rId38"/>
    <Relationship TargetMode="External" Target="https://www.legis.iowa.gov/docs/ico/chapter/161C.pdf" Type="http://schemas.openxmlformats.org/officeDocument/2006/relationships/hyperlink" Id="rId39"/>
    <Relationship TargetMode="External" Target="https://www.legis.iowa.gov/docs/ico/chapter/455A.19.pdf" Type="http://schemas.openxmlformats.org/officeDocument/2006/relationships/hyperlink"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