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PRIVATE ACTIVITY BOND ALLOCATION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265—8.1</w:t>
      </w:r>
      <w:r>
        <w:rPr>
          <w:rFonts w:ascii="Times New Roman" w:hAnsi="Times New Roman"/>
          <w:b/>
          <w:i w:val="false"/>
          <w:color w:val="000000"/>
          <w:sz w:val="22"/>
        </w:rPr>
        <w:t xml:space="preserve">(7C)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7C.12</w:t>
        </w:r>
      </w:hyperlink>
      <w:r>
        <w:rPr>
          <w:rFonts w:ascii="Times New Roman" w:hAnsi="Times New Roman"/>
          <w:b w:val="false"/>
          <w:i w:val="false"/>
          <w:color w:val="000000"/>
          <w:sz w:val="22"/>
        </w:rPr>
        <w:t xml:space="preserve">, the governor has appointed the director of the authority as the governor’s designee responsible for administering the procedures for allocation of private activity bonds. The governor’s designee adopts this chapter pursuant to Iowa Code section </w:t>
      </w:r>
      <w:hyperlink r:id="rId6">
        <w:r>
          <w:rPr>
            <w:rStyle w:val="Hyperlink"/>
            <w:rFonts w:ascii="Times New Roman" w:hAnsi="Times New Roman"/>
            <w:b w:val="false"/>
            <w:i w:val="false"/>
            <w:color w:val="000000"/>
            <w:sz w:val="22"/>
          </w:rPr>
          <w:t>7C.12(2)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265—8.2</w:t>
      </w:r>
      <w:r>
        <w:rPr>
          <w:rFonts w:ascii="Times New Roman" w:hAnsi="Times New Roman"/>
          <w:b/>
          <w:i w:val="false"/>
          <w:color w:val="000000"/>
          <w:sz w:val="22"/>
        </w:rPr>
        <w:t xml:space="preserve">(7C)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7C.3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 request submitted for an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pursuant to Iowa Code section </w:t>
      </w:r>
      <w:hyperlink r:id="rId8">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an entity that is intended to benefit from issuance of a bond by an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“Governor’s designee”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7C.3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 </w:t>
      </w:r>
      <w:r>
        <w:rPr>
          <w:rFonts w:ascii="Times New Roman" w:hAnsi="Times New Roman"/>
          <w:b w:val="false"/>
          <w:i w:val="false"/>
          <w:color w:val="000000"/>
          <w:sz w:val="22"/>
        </w:rPr>
        <w:t xml:space="preserve">means a political subdivision that proposes to issue bonds for a particular project or purpose for which an allocation of the state ceiling is required and has not already been made under Iowa Code section </w:t>
      </w:r>
      <w:hyperlink r:id="rId10">
        <w:r>
          <w:rPr>
            <w:rStyle w:val="Hyperlink"/>
            <w:rFonts w:ascii="Times New Roman" w:hAnsi="Times New Roman"/>
            <w:b w:val="false"/>
            <w:i w:val="false"/>
            <w:color w:val="000000"/>
            <w:sz w:val="22"/>
          </w:rPr>
          <w:t>7C.4A(1)</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7C.4A(5)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7C.3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activity bonds”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Section 141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ceiling”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7C.3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265—8.3</w:t>
      </w:r>
      <w:r>
        <w:rPr>
          <w:rFonts w:ascii="Times New Roman" w:hAnsi="Times New Roman"/>
          <w:b/>
          <w:i w:val="false"/>
          <w:color w:val="000000"/>
          <w:sz w:val="22"/>
        </w:rPr>
        <w:t xml:space="preserve">(7C) </w:t>
      </w:r>
      <w:r>
        <w:rPr>
          <w:rFonts w:ascii="Times New Roman" w:hAnsi="Times New Roman"/>
          <w:b/>
          <w:i w:val="false"/>
          <w:color w:val="000000"/>
          <w:sz w:val="22"/>
        </w:rPr>
        <w:t xml:space="preserve">Forms and applications. </w:t>
      </w:r>
      <w:r>
        <w:rPr>
          <w:rFonts w:ascii="Times New Roman" w:hAnsi="Times New Roman"/>
          <w:b w:val="false"/>
          <w:i w:val="false"/>
          <w:color w:val="000000"/>
          <w:sz w:val="22"/>
        </w:rPr>
        <w:t xml:space="preserve">Information and forms are available upon request from the governor’s designee at the address set forth in rule </w:t>
      </w:r>
      <w:hyperlink r:id="rId14">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(16) or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or beneficiary, or the duly authorized agent of an issuer or beneficiary, must apply for the allocation of a portion of the private activity bond state ceiling allocated pursuant to Iowa Code chapter </w:t>
      </w:r>
      <w:hyperlink r:id="rId15">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 xml:space="preserve"> in the form and content prescribed by the governor’s designee. Applications may be submitted to the governor’s designee electronically or via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The governing body of an issuer must adopt a resolution evidencing an intent to issue the bonds prior to submission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the application fee set forth in rule </w:t>
      </w:r>
      <w:hyperlink r:id="rId16">
        <w:r>
          <w:rPr>
            <w:rStyle w:val="Hyperlink"/>
            <w:rFonts w:ascii="Times New Roman" w:hAnsi="Times New Roman"/>
            <w:b w:val="false"/>
            <w:i w:val="false"/>
            <w:color w:val="000000"/>
            <w:sz w:val="22"/>
          </w:rPr>
          <w:t>265—8.7</w:t>
        </w:r>
      </w:hyperlink>
      <w:r>
        <w:rPr>
          <w:rFonts w:ascii="Times New Roman" w:hAnsi="Times New Roman"/>
          <w:b w:val="false"/>
          <w:i w:val="false"/>
          <w:color w:val="000000"/>
          <w:sz w:val="22"/>
        </w:rPr>
        <w:t>(7C) and all required attachments to the application before such application is considered for allocation.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subrules </w:t>
      </w:r>
      <w:hyperlink r:id="rId17">
        <w:r>
          <w:rPr>
            <w:rStyle w:val="Hyperlink"/>
            <w:rFonts w:ascii="Times New Roman" w:hAnsi="Times New Roman"/>
            <w:b w:val="false"/>
            <w:i w:val="false"/>
            <w:color w:val="000000"/>
            <w:sz w:val="22"/>
          </w:rPr>
          <w:t>8.3(5)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8.4(4)</w:t>
        </w:r>
      </w:hyperlink>
      <w:r>
        <w:rPr>
          <w:rFonts w:ascii="Times New Roman" w:hAnsi="Times New Roman"/>
          <w:b w:val="false"/>
          <w:i w:val="false"/>
          <w:color w:val="000000"/>
          <w:sz w:val="22"/>
        </w:rPr>
        <w:t xml:space="preserve">, the governor’s designee shall certify allocations in the order in which applications are received, as indicated in Iowa Code section </w:t>
      </w:r>
      <w:hyperlink r:id="rId19">
        <w:r>
          <w:rPr>
            <w:rStyle w:val="Hyperlink"/>
            <w:rFonts w:ascii="Times New Roman" w:hAnsi="Times New Roman"/>
            <w:b w:val="false"/>
            <w:i w:val="false"/>
            <w:color w:val="000000"/>
            <w:sz w:val="22"/>
          </w:rPr>
          <w:t>7C.5</w:t>
        </w:r>
      </w:hyperlink>
      <w:r>
        <w:rPr>
          <w:rFonts w:ascii="Times New Roman" w:hAnsi="Times New Roman"/>
          <w:b w:val="false"/>
          <w:i w:val="false"/>
          <w:color w:val="000000"/>
          <w:sz w:val="22"/>
        </w:rPr>
        <w:t>. Applications for any given calendar year may be submitted to the governor’s designee beginning on December 1 of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state ceiling allocated pursuant to Iowa Code section </w:t>
      </w:r>
      <w:hyperlink r:id="rId20">
        <w:r>
          <w:rPr>
            <w:rStyle w:val="Hyperlink"/>
            <w:rFonts w:ascii="Times New Roman" w:hAnsi="Times New Roman"/>
            <w:b w:val="false"/>
            <w:i w:val="false"/>
            <w:color w:val="000000"/>
            <w:sz w:val="22"/>
          </w:rPr>
          <w:t>7C.4A(1)</w:t>
        </w:r>
      </w:hyperlink>
      <w:r>
        <w:rPr>
          <w:rFonts w:ascii="Times New Roman" w:hAnsi="Times New Roman"/>
          <w:b w:val="false"/>
          <w:i/>
          <w:color w:val="000000"/>
          <w:sz w:val="22"/>
        </w:rPr>
        <w:t>“a”</w:t>
      </w:r>
      <w:r>
        <w:rPr>
          <w:rFonts w:ascii="Times New Roman" w:hAnsi="Times New Roman"/>
          <w:b w:val="false"/>
          <w:i w:val="false"/>
          <w:color w:val="000000"/>
          <w:sz w:val="22"/>
        </w:rPr>
        <w:t xml:space="preserve">(4) shall be allocated pursuant to subrule </w:t>
      </w:r>
      <w:hyperlink r:id="rId21">
        <w:r>
          <w:rPr>
            <w:rStyle w:val="Hyperlink"/>
            <w:rFonts w:ascii="Times New Roman" w:hAnsi="Times New Roman"/>
            <w:b w:val="false"/>
            <w:i w:val="false"/>
            <w:color w:val="000000"/>
            <w:sz w:val="22"/>
          </w:rPr>
          <w:t>8.4(4)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265—8.4</w:t>
      </w:r>
      <w:r>
        <w:rPr>
          <w:rFonts w:ascii="Times New Roman" w:hAnsi="Times New Roman"/>
          <w:b/>
          <w:i w:val="false"/>
          <w:color w:val="000000"/>
          <w:sz w:val="22"/>
        </w:rPr>
        <w:t xml:space="preserve">(7C) </w:t>
      </w:r>
      <w:r>
        <w:rPr>
          <w:rFonts w:ascii="Times New Roman" w:hAnsi="Times New Roman"/>
          <w:b/>
          <w:i w:val="false"/>
          <w:color w:val="000000"/>
          <w:sz w:val="22"/>
        </w:rPr>
        <w:t xml:space="preserve">Certification of current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designee shall maintain separate lists of applications for private activity bonds for allocation pursuant to Iowa Code section </w:t>
      </w:r>
      <w:hyperlink r:id="rId22">
        <w:r>
          <w:rPr>
            <w:rStyle w:val="Hyperlink"/>
            <w:rFonts w:ascii="Times New Roman" w:hAnsi="Times New Roman"/>
            <w:b w:val="false"/>
            <w:i w:val="false"/>
            <w:color w:val="000000"/>
            <w:sz w:val="22"/>
          </w:rPr>
          <w:t>7C.4A(2)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7C.4A(4)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7C.4A(5)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If there are additional applications after the state ceiling for the purpose of industries is fully allocated and, before June 30, the state ceiling for the use of political subdivisions is fully allocated to applications, all applications that have not been allocated any state ceiling will be placed on the list for allocation pursuant to Iowa Code section </w:t>
      </w:r>
      <w:hyperlink r:id="rId26">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xml:space="preserve"> in the chronological order of receipt without regard to the purpose for which such applications were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designee shall promptly certify to the issuer the amount of the state ceiling allocated to the bonds for the purpose of the project for which the application was submitted, in the order as determined by Iowa Code chapter </w:t>
      </w:r>
      <w:hyperlink r:id="rId27">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 xml:space="preserve">. The governor’s designee shall continue to allocate the state ceiling for each purpose separately (or, if the allocation is made under Iowa Code section </w:t>
      </w:r>
      <w:hyperlink r:id="rId28">
        <w:r>
          <w:rPr>
            <w:rStyle w:val="Hyperlink"/>
            <w:rFonts w:ascii="Times New Roman" w:hAnsi="Times New Roman"/>
            <w:b w:val="false"/>
            <w:i w:val="false"/>
            <w:color w:val="000000"/>
            <w:sz w:val="22"/>
          </w:rPr>
          <w:t>7C.4A(7)</w:t>
        </w:r>
      </w:hyperlink>
      <w:r>
        <w:rPr>
          <w:rFonts w:ascii="Times New Roman" w:hAnsi="Times New Roman"/>
          <w:b w:val="false"/>
          <w:i w:val="false"/>
          <w:color w:val="000000"/>
          <w:sz w:val="22"/>
        </w:rPr>
        <w:t>, in the chronological order of applications received) until all the available state ceiling for that purpose is fully allocated. If there is not sufficient available state ceiling to fully fund an application that is next in order for allocation, the governor’s designee shall notify the applicant of the amount that is available and the applicant shall have the option to take what is available within five calendar days of receiving notice of availability. If the applicant does not notify the governor’s designee of its decision to take the available allocation within five calendar days of receiving notice of that option, the available state ceiling shall be offered to the next application on the list under the same conditions, and the initial offeree will maintain its position on the list. If the partial allocation is accepted, the applicant may submit a new application for additional state ceiling and that application will be added to the bottom of the applicable list in the chronological order of its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If the bonds are issued and delivered prior to the expiration date of the allocation, then the issuer or the issuer’s attorney shall within ten days following the issuance and delivery of the bonds notify the governor’s designee in the form and content prescribed by the governor’s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complete application for allocation for a qualified residential rental project, the bonds for which will be issued by the authority, the authority may determine in its sole discretion whether to allocate a portion of its allocation under Iowa Code section </w:t>
      </w:r>
      <w:hyperlink r:id="rId29">
        <w:r>
          <w:rPr>
            <w:rStyle w:val="Hyperlink"/>
            <w:rFonts w:ascii="Times New Roman" w:hAnsi="Times New Roman"/>
            <w:b w:val="false"/>
            <w:i w:val="false"/>
            <w:color w:val="000000"/>
            <w:sz w:val="22"/>
          </w:rPr>
          <w:t>7C.4A(1)</w:t>
        </w:r>
      </w:hyperlink>
      <w:r>
        <w:rPr>
          <w:rFonts w:ascii="Times New Roman" w:hAnsi="Times New Roman"/>
          <w:b w:val="false"/>
          <w:i/>
          <w:color w:val="000000"/>
          <w:sz w:val="22"/>
        </w:rPr>
        <w:t>“a”</w:t>
      </w:r>
      <w:r>
        <w:rPr>
          <w:rFonts w:ascii="Times New Roman" w:hAnsi="Times New Roman"/>
          <w:b w:val="false"/>
          <w:i w:val="false"/>
          <w:color w:val="000000"/>
          <w:sz w:val="22"/>
        </w:rPr>
        <w:t>(4) to such application based on factors including but not limited to the readiness, feasibility, and impact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265—8.5</w:t>
      </w:r>
      <w:r>
        <w:rPr>
          <w:rFonts w:ascii="Times New Roman" w:hAnsi="Times New Roman"/>
          <w:b/>
          <w:i w:val="false"/>
          <w:color w:val="000000"/>
          <w:sz w:val="22"/>
        </w:rPr>
        <w:t xml:space="preserve">(7C) </w:t>
      </w:r>
      <w:r>
        <w:rPr>
          <w:rFonts w:ascii="Times New Roman" w:hAnsi="Times New Roman"/>
          <w:b/>
          <w:i w:val="false"/>
          <w:color w:val="000000"/>
          <w:sz w:val="22"/>
        </w:rPr>
        <w:t xml:space="preserve">State ceiling carryforwards. </w:t>
      </w:r>
      <w:r>
        <w:rPr>
          <w:rFonts w:ascii="Times New Roman" w:hAnsi="Times New Roman"/>
          <w:b w:val="false"/>
          <w:i w:val="false"/>
          <w:color w:val="000000"/>
          <w:sz w:val="22"/>
        </w:rPr>
        <w:t xml:space="preserve">In the event the aggregate principal amount of bonds issued by all issuers in a calendar year is less than the state ceiling for that calendar year, an issuer or beneficiary may apply to the governor’s designee for an allocation of a specified portion of the excess state ceiling to be applied to a specified carryforward project. The application must be in writing and shall comply with the carryforward provisions of </w:t>
      </w:r>
      <w:r>
        <w:rPr>
          <w:rFonts w:ascii="Times New Roman" w:hAnsi="Times New Roman"/>
          <w:b w:val="false"/>
          <w:i w:val="false"/>
          <w:color w:val="000000"/>
          <w:sz w:val="22"/>
        </w:rPr>
        <w:t>Section 146(f) of the Internal Revenue Code</w:t>
      </w:r>
      <w:r>
        <w:rPr>
          <w:rFonts w:ascii="Times New Roman" w:hAnsi="Times New Roman"/>
          <w:b w:val="false"/>
          <w:i w:val="false"/>
          <w:color w:val="000000"/>
          <w:sz w:val="22"/>
        </w:rPr>
        <w:t xml:space="preserve"> and regulations promulgated under that section. Any carryforward allocation that has not expired under </w:t>
      </w:r>
      <w:r>
        <w:rPr>
          <w:rFonts w:ascii="Times New Roman" w:hAnsi="Times New Roman"/>
          <w:b w:val="false"/>
          <w:i w:val="false"/>
          <w:color w:val="000000"/>
          <w:sz w:val="22"/>
        </w:rPr>
        <w:t>Section 146 of the Internal Revenue Code</w:t>
      </w:r>
      <w:r>
        <w:rPr>
          <w:rFonts w:ascii="Times New Roman" w:hAnsi="Times New Roman"/>
          <w:b w:val="false"/>
          <w:i w:val="false"/>
          <w:color w:val="000000"/>
          <w:sz w:val="22"/>
        </w:rPr>
        <w:t xml:space="preserve"> released by the original applicant may be allocated to any other applicant for allocation for the same purpose for which the original application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265—8.6</w:t>
      </w:r>
      <w:r>
        <w:rPr>
          <w:rFonts w:ascii="Times New Roman" w:hAnsi="Times New Roman"/>
          <w:b/>
          <w:i w:val="false"/>
          <w:color w:val="000000"/>
          <w:sz w:val="22"/>
        </w:rPr>
        <w:t xml:space="preserve">(7C) </w:t>
      </w:r>
      <w:r>
        <w:rPr>
          <w:rFonts w:ascii="Times New Roman" w:hAnsi="Times New Roman"/>
          <w:b/>
          <w:i w:val="false"/>
          <w:color w:val="000000"/>
          <w:sz w:val="22"/>
        </w:rPr>
        <w:t xml:space="preserve">Expiration of allocations and resubmission. </w:t>
      </w:r>
      <w:r>
        <w:rPr>
          <w:rFonts w:ascii="Times New Roman" w:hAnsi="Times New Roman"/>
          <w:b w:val="false"/>
          <w:i w:val="false"/>
          <w:color w:val="000000"/>
          <w:sz w:val="22"/>
        </w:rPr>
        <w:t xml:space="preserve">Allocations expire as described in Iowa Code sections </w:t>
      </w:r>
      <w:hyperlink r:id="rId30">
        <w:r>
          <w:rPr>
            <w:rStyle w:val="Hyperlink"/>
            <w:rFonts w:ascii="Times New Roman" w:hAnsi="Times New Roman"/>
            <w:b w:val="false"/>
            <w:i w:val="false"/>
            <w:color w:val="000000"/>
            <w:sz w:val="22"/>
          </w:rPr>
          <w:t>7C.7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7C.9</w:t>
        </w:r>
      </w:hyperlink>
      <w:r>
        <w:rPr>
          <w:rFonts w:ascii="Times New Roman" w:hAnsi="Times New Roman"/>
          <w:b w:val="false"/>
          <w:i w:val="false"/>
          <w:color w:val="000000"/>
          <w:sz w:val="22"/>
        </w:rPr>
        <w:t xml:space="preserve">. If an allocation expires, an issuer may resubmit its application pursuant to Iowa Code section </w:t>
      </w:r>
      <w:hyperlink r:id="rId32">
        <w:r>
          <w:rPr>
            <w:rStyle w:val="Hyperlink"/>
            <w:rFonts w:ascii="Times New Roman" w:hAnsi="Times New Roman"/>
            <w:b w:val="false"/>
            <w:i w:val="false"/>
            <w:color w:val="000000"/>
            <w:sz w:val="22"/>
          </w:rPr>
          <w:t>7C.10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265—8.7</w:t>
      </w:r>
      <w:r>
        <w:rPr>
          <w:rFonts w:ascii="Times New Roman" w:hAnsi="Times New Roman"/>
          <w:b/>
          <w:i w:val="false"/>
          <w:color w:val="000000"/>
          <w:sz w:val="22"/>
        </w:rPr>
        <w:t xml:space="preserve">(7C) </w:t>
      </w:r>
      <w:r>
        <w:rPr>
          <w:rFonts w:ascii="Times New Roman" w:hAnsi="Times New Roman"/>
          <w:b/>
          <w:i w:val="false"/>
          <w:color w:val="000000"/>
          <w:sz w:val="22"/>
        </w:rPr>
        <w:t xml:space="preserve">Use by political subdivisions. </w:t>
      </w:r>
      <w:r>
        <w:rPr>
          <w:rFonts w:ascii="Times New Roman" w:hAnsi="Times New Roman"/>
          <w:b w:val="false"/>
          <w:i w:val="false"/>
          <w:color w:val="000000"/>
          <w:sz w:val="22"/>
        </w:rPr>
        <w:t xml:space="preserve">For the purposes of the amount of the state ceiling allocated pursuant to Iowa Code section </w:t>
      </w:r>
      <w:hyperlink r:id="rId33">
        <w:r>
          <w:rPr>
            <w:rStyle w:val="Hyperlink"/>
            <w:rFonts w:ascii="Times New Roman" w:hAnsi="Times New Roman"/>
            <w:b w:val="false"/>
            <w:i w:val="false"/>
            <w:color w:val="000000"/>
            <w:sz w:val="22"/>
          </w:rPr>
          <w:t>7C.4A(6)</w:t>
        </w:r>
      </w:hyperlink>
      <w:r>
        <w:rPr>
          <w:rFonts w:ascii="Times New Roman" w:hAnsi="Times New Roman"/>
          <w:b w:val="false"/>
          <w:i w:val="false"/>
          <w:color w:val="000000"/>
          <w:sz w:val="22"/>
        </w:rPr>
        <w:t>, a political subdivision will be considered to use the proceeds of private activity bonds if such proceeds are used to finance a project owned or utilized directly by the political subdivision or to finance a program of the political subdivision that the legislature by statute has authorized or directed the political subdivision to implement.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265—8.8</w:t>
      </w:r>
      <w:r>
        <w:rPr>
          <w:rFonts w:ascii="Times New Roman" w:hAnsi="Times New Roman"/>
          <w:b/>
          <w:i w:val="false"/>
          <w:color w:val="000000"/>
          <w:sz w:val="22"/>
        </w:rPr>
        <w:t xml:space="preserve">(7C)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The governor’s designee may charge reasonable fees for providing administrative assistance with regard to the filing of applications and the allocation of the private activity bond state ceiling in accordance with this chapter. A fee of 2 basis points (.02%) of the amount of state ceiling for which application is made shall be paid by the applicant upon filing the application with the governor’s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265—8.9</w:t>
      </w:r>
      <w:r>
        <w:rPr>
          <w:rFonts w:ascii="Times New Roman" w:hAnsi="Times New Roman"/>
          <w:b/>
          <w:i w:val="false"/>
          <w:color w:val="000000"/>
          <w:sz w:val="22"/>
        </w:rPr>
        <w:t xml:space="preserve">(7C) </w:t>
      </w:r>
      <w:r>
        <w:rPr>
          <w:rFonts w:ascii="Times New Roman" w:hAnsi="Times New Roman"/>
          <w:b/>
          <w:i w:val="false"/>
          <w:color w:val="000000"/>
          <w:sz w:val="22"/>
        </w:rPr>
        <w:t xml:space="preserve">References. </w:t>
      </w:r>
      <w:r>
        <w:rPr>
          <w:rFonts w:ascii="Times New Roman" w:hAnsi="Times New Roman"/>
          <w:b w:val="false"/>
          <w:i w:val="false"/>
          <w:color w:val="000000"/>
          <w:sz w:val="22"/>
        </w:rPr>
        <w:t xml:space="preserve">All references to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its implementing regulations in this chapter are to the laws as in effect January 14,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10/18/85—published 11/6/85, effective 10/18/85]</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12/20/00 after Notice 11/15/00—published 1/10/01,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7579B</w:t>
      </w:r>
      <w:r>
        <w:rPr>
          <w:rFonts w:ascii="Times New Roman" w:hAnsi="Times New Roman"/>
          <w:b w:val="false"/>
          <w:i w:val="false"/>
          <w:color w:val="000000"/>
          <w:sz w:val="21"/>
        </w:rPr>
        <w:t xml:space="preserve"> (Notice ARC 7101B, IAB 8/27/08)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4210C</w:t>
      </w:r>
      <w:r>
        <w:rPr>
          <w:rFonts w:ascii="Times New Roman" w:hAnsi="Times New Roman"/>
          <w:b w:val="false"/>
          <w:i w:val="false"/>
          <w:color w:val="000000"/>
          <w:sz w:val="21"/>
        </w:rPr>
        <w:t xml:space="preserve"> (Notice ARC 4087C, IAB 10/24/18)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9820C</w:t>
      </w:r>
      <w:r>
        <w:rPr>
          <w:rFonts w:ascii="Times New Roman" w:hAnsi="Times New Roman"/>
          <w:b w:val="false"/>
          <w:i w:val="false"/>
          <w:color w:val="000000"/>
          <w:sz w:val="21"/>
        </w:rPr>
        <w:t xml:space="preserve"> (Notice ARC 9534C, IAB 9/3/25)</w:t>
      </w:r>
      <w:r>
        <w:rPr>
          <w:rFonts w:ascii="Times New Roman" w:hAnsi="Times New Roman"/>
          <w:b w:val="false"/>
          <w:i w:val="false"/>
          <w:color w:val="000000"/>
          <w:sz w:val="21"/>
        </w:rPr>
        <w:t>, IAB 12/10/25, effective 1/14/26]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C.12.pdf" Type="http://schemas.openxmlformats.org/officeDocument/2006/relationships/hyperlink" Id="rId5"/>
    <Relationship TargetMode="External" Target="https://www.legis.iowa.gov/docs/ico/chapter/7C.12.pdf" Type="http://schemas.openxmlformats.org/officeDocument/2006/relationships/hyperlink" Id="rId6"/>
    <Relationship TargetMode="External" Target="https://www.legis.iowa.gov/docs/ico/chapter/7C.3.pdf" Type="http://schemas.openxmlformats.org/officeDocument/2006/relationships/hyperlink" Id="rId7"/>
    <Relationship TargetMode="External" Target="https://www.legis.iowa.gov/docs/ico/chapter/16.1A.pdf" Type="http://schemas.openxmlformats.org/officeDocument/2006/relationships/hyperlink" Id="rId8"/>
    <Relationship TargetMode="External" Target="https://www.legis.iowa.gov/docs/ico/chapter/7C.3.pdf" Type="http://schemas.openxmlformats.org/officeDocument/2006/relationships/hyperlink" Id="rId9"/>
    <Relationship TargetMode="External" Target="https://www.legis.iowa.gov/docs/ico/chapter/7C.4A.pdf" Type="http://schemas.openxmlformats.org/officeDocument/2006/relationships/hyperlink" Id="rId10"/>
    <Relationship TargetMode="External" Target="https://www.legis.iowa.gov/docs/ico/chapter/7C.4A.pdf" Type="http://schemas.openxmlformats.org/officeDocument/2006/relationships/hyperlink" Id="rId11"/>
    <Relationship TargetMode="External" Target="https://www.legis.iowa.gov/docs/ico/chapter/7C.3.pdf" Type="http://schemas.openxmlformats.org/officeDocument/2006/relationships/hyperlink" Id="rId12"/>
    <Relationship TargetMode="External" Target="https://www.legis.iowa.gov/docs/ico/chapter/7C.3.pdf" Type="http://schemas.openxmlformats.org/officeDocument/2006/relationships/hyperlink" Id="rId13"/>
    <Relationship TargetMode="External" Target="https://www.legis.iowa.gov/docs/iac/rule/265.1.3.pdf" Type="http://schemas.openxmlformats.org/officeDocument/2006/relationships/hyperlink" Id="rId14"/>
    <Relationship TargetMode="External" Target="https://www.legis.iowa.gov/docs/ico/chapter/7C.pdf" Type="http://schemas.openxmlformats.org/officeDocument/2006/relationships/hyperlink" Id="rId15"/>
    <Relationship TargetMode="External" Target="https://www.legis.iowa.gov/docs/iac/rule/265.8.7.pdf" Type="http://schemas.openxmlformats.org/officeDocument/2006/relationships/hyperlink" Id="rId16"/>
    <Relationship TargetMode="External" Target="https://www.legis.iowa.gov/docs/iac/rule/265.8.3.pdf" Type="http://schemas.openxmlformats.org/officeDocument/2006/relationships/hyperlink" Id="rId17"/>
    <Relationship TargetMode="External" Target="https://www.legis.iowa.gov/docs/iac/rule/265.8.4.pdf" Type="http://schemas.openxmlformats.org/officeDocument/2006/relationships/hyperlink" Id="rId18"/>
    <Relationship TargetMode="External" Target="https://www.legis.iowa.gov/docs/ico/chapter/7C.5.pdf" Type="http://schemas.openxmlformats.org/officeDocument/2006/relationships/hyperlink" Id="rId19"/>
    <Relationship TargetMode="External" Target="https://www.legis.iowa.gov/docs/ico/chapter/7C.4A.pdf" Type="http://schemas.openxmlformats.org/officeDocument/2006/relationships/hyperlink" Id="rId20"/>
    <Relationship TargetMode="External" Target="https://www.legis.iowa.gov/docs/iac/rule/265.8.4.pdf" Type="http://schemas.openxmlformats.org/officeDocument/2006/relationships/hyperlink" Id="rId21"/>
    <Relationship TargetMode="External" Target="https://www.legis.iowa.gov/docs/ico/chapter/7C.4A.pdf" Type="http://schemas.openxmlformats.org/officeDocument/2006/relationships/hyperlink" Id="rId22"/>
    <Relationship TargetMode="External" Target="https://www.legis.iowa.gov/docs/ico/chapter/7C.4A.pdf" Type="http://schemas.openxmlformats.org/officeDocument/2006/relationships/hyperlink" Id="rId23"/>
    <Relationship TargetMode="External" Target="https://www.legis.iowa.gov/docs/ico/chapter/7C.4A.pdf" Type="http://schemas.openxmlformats.org/officeDocument/2006/relationships/hyperlink" Id="rId24"/>
    <Relationship TargetMode="External" Target="https://www.legis.iowa.gov/docs/ico/chapter/7C.4A.pdf" Type="http://schemas.openxmlformats.org/officeDocument/2006/relationships/hyperlink" Id="rId25"/>
    <Relationship TargetMode="External" Target="https://www.legis.iowa.gov/docs/ico/chapter/7C.4A.pdf" Type="http://schemas.openxmlformats.org/officeDocument/2006/relationships/hyperlink" Id="rId26"/>
    <Relationship TargetMode="External" Target="https://www.legis.iowa.gov/docs/ico/chapter/7C.pdf" Type="http://schemas.openxmlformats.org/officeDocument/2006/relationships/hyperlink" Id="rId27"/>
    <Relationship TargetMode="External" Target="https://www.legis.iowa.gov/docs/ico/chapter/7C.4A.pdf" Type="http://schemas.openxmlformats.org/officeDocument/2006/relationships/hyperlink" Id="rId28"/>
    <Relationship TargetMode="External" Target="https://www.legis.iowa.gov/docs/ico/chapter/7C.4A.pdf" Type="http://schemas.openxmlformats.org/officeDocument/2006/relationships/hyperlink" Id="rId29"/>
    <Relationship TargetMode="External" Target="https://www.legis.iowa.gov/docs/ico/chapter/7C.7.pdf" Type="http://schemas.openxmlformats.org/officeDocument/2006/relationships/hyperlink" Id="rId30"/>
    <Relationship TargetMode="External" Target="https://www.legis.iowa.gov/docs/ico/chapter/7C.9.pdf" Type="http://schemas.openxmlformats.org/officeDocument/2006/relationships/hyperlink" Id="rId31"/>
    <Relationship TargetMode="External" Target="https://www.legis.iowa.gov/docs/ico/chapter/7C.10.pdf" Type="http://schemas.openxmlformats.org/officeDocument/2006/relationships/hyperlink" Id="rId32"/>
    <Relationship TargetMode="External" Target="https://www.legis.iowa.gov/docs/ico/chapter/7C.4A.pdf" Type="http://schemas.openxmlformats.org/officeDocument/2006/relationships/hyperlink" Id="rId33"/>
    <Relationship TargetMode="External" Target="https://www.legis.iowa.gov/docs/ico/chapter/7C.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