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HOUSING RENEWAL PILOT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4/26/28</w:t>
      </w:r>
    </w:p>
    <w:p>
      <w:pPr>
        <w:spacing w:before="0" w:after="0"/>
        <w:ind w:left="120"/>
        <w:jc w:val="both"/>
      </w:pPr>
      <w:r>
        <w:rPr>
          <w:rFonts w:ascii="Times New Roman" w:hAnsi="Times New Roman"/>
          <w:b/>
          <w:i w:val="false"/>
          <w:color w:val="000000"/>
          <w:sz w:val="22"/>
        </w:rPr>
        <w:t>265—47.1</w:t>
      </w:r>
      <w:r>
        <w:rPr>
          <w:rFonts w:ascii="Times New Roman" w:hAnsi="Times New Roman"/>
          <w:b/>
          <w:i w:val="false"/>
          <w:color w:val="000000"/>
          <w:sz w:val="22"/>
        </w:rPr>
        <w:t xml:space="preserve">(89GA,HF2564)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2022 Iowa Acts, House File 2564</w:t>
      </w:r>
      <w:r>
        <w:rPr>
          <w:rFonts w:ascii="Times New Roman" w:hAnsi="Times New Roman"/>
          <w:b w:val="false"/>
          <w:i w:val="false"/>
          <w:color w:val="000000"/>
          <w:sz w:val="22"/>
        </w:rPr>
        <w:t>, division III, a housing renewal program fund is established under the control of the Iowa finance authority. The authority shall provide moneys from the fund to a nonprofit Iowa affiliate to award grants under the program. Grantees shall use the funds for the purpose of investing in housing rehabilitation and redevelopment for resale to an income-qualified buyer who occupies the home as the buyer’s primary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6956C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265—47.2</w:t>
      </w:r>
      <w:r>
        <w:rPr>
          <w:rFonts w:ascii="Times New Roman" w:hAnsi="Times New Roman"/>
          <w:b/>
          <w:i w:val="false"/>
          <w:color w:val="000000"/>
          <w:sz w:val="22"/>
        </w:rPr>
        <w:t xml:space="preserve">(89GA,HF2564)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participant” </w:t>
      </w:r>
      <w:r>
        <w:rPr>
          <w:rFonts w:ascii="Times New Roman" w:hAnsi="Times New Roman"/>
          <w:b w:val="false"/>
          <w:i w:val="false"/>
          <w:color w:val="000000"/>
          <w:sz w:val="22"/>
        </w:rPr>
        <w:t xml:space="preserve">means a city, a county, a consortium of local governments, or an organization exempt from taxation pursuant to </w:t>
      </w:r>
      <w:r>
        <w:rPr>
          <w:rFonts w:ascii="Times New Roman" w:hAnsi="Times New Roman"/>
          <w:b w:val="false"/>
          <w:i w:val="false"/>
          <w:color w:val="000000"/>
          <w:sz w:val="22"/>
        </w:rPr>
        <w:t>Section 501(c)(3) of the Internal Revenue Code</w:t>
      </w:r>
      <w:r>
        <w:rPr>
          <w:rFonts w:ascii="Times New Roman" w:hAnsi="Times New Roman"/>
          <w:b w:val="false"/>
          <w:i w:val="false"/>
          <w:color w:val="000000"/>
          <w:sz w:val="22"/>
        </w:rPr>
        <w:t xml:space="preserve"> with whom a nonprofit affiliate elects to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 xml:space="preserve">means an eligible participant awarded a grant under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Iowa affiliate”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“nonprofit affiliate” </w:t>
      </w:r>
      <w:r>
        <w:rPr>
          <w:rFonts w:ascii="Times New Roman" w:hAnsi="Times New Roman"/>
          <w:b w:val="false"/>
          <w:i w:val="false"/>
          <w:color w:val="000000"/>
          <w:sz w:val="22"/>
        </w:rPr>
        <w:t>means a nonprofit Iowa affiliate of a nonprofit international organization whose primary activity is the promotion of the construction, remodeling, or rehabilitation of one-family or two-family dwellings for use by low-income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“Redevelopment” </w:t>
      </w:r>
      <w:r>
        <w:rPr>
          <w:rFonts w:ascii="Times New Roman" w:hAnsi="Times New Roman"/>
          <w:b w:val="false"/>
          <w:i w:val="false"/>
          <w:color w:val="000000"/>
          <w:sz w:val="22"/>
        </w:rPr>
        <w:t>means activities including new construction of housing on vacant or demolished properties on infill lots or the conversion of property from a nonresidential use to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means renovation, remodeling and repair of existing housing units for continued residential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6956C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265—47.3</w:t>
      </w:r>
      <w:r>
        <w:rPr>
          <w:rFonts w:ascii="Times New Roman" w:hAnsi="Times New Roman"/>
          <w:b/>
          <w:i w:val="false"/>
          <w:color w:val="000000"/>
          <w:sz w:val="22"/>
        </w:rPr>
        <w:t xml:space="preserve">(89GA,HF2564) </w:t>
      </w:r>
      <w:r>
        <w:rPr>
          <w:rFonts w:ascii="Times New Roman" w:hAnsi="Times New Roman"/>
          <w:b/>
          <w:i w:val="false"/>
          <w:color w:val="000000"/>
          <w:sz w:val="22"/>
        </w:rPr>
        <w:t xml:space="preserve">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prepare an agreement between the authority and the nonprofit affiliate. The agreement may include terms and conditions reasonably necessary for implementation of the program pursuant to this chapter and </w:t>
      </w:r>
      <w:r>
        <w:rPr>
          <w:rFonts w:ascii="Times New Roman" w:hAnsi="Times New Roman"/>
          <w:b w:val="false"/>
          <w:i w:val="false"/>
          <w:color w:val="000000"/>
          <w:sz w:val="22"/>
        </w:rPr>
        <w:t>2022 Iowa Acts, House File 2564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47.3(2)</w:t>
      </w:r>
      <w:r>
        <w:rPr>
          <w:rFonts w:ascii="Times New Roman" w:hAnsi="Times New Roman"/>
          <w:b w:val="false"/>
          <w:i w:val="false"/>
          <w:color w:val="000000"/>
          <w:sz w:val="22"/>
        </w:rPr>
        <w:t> </w:t>
      </w:r>
      <w:r>
        <w:rPr>
          <w:rFonts w:ascii="Times New Roman" w:hAnsi="Times New Roman"/>
          <w:b w:val="false"/>
          <w:i w:val="false"/>
          <w:color w:val="000000"/>
          <w:sz w:val="22"/>
        </w:rPr>
        <w:t>Any substantive change to the nonprofit affiliate’s proposed uses of funds shall require an amendment to the agreement. Amendments shall be requested in writing. No amendment shall be valid until approved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nonprofit affiliate must prepare an agreement for each project approved for an award. The agreement will reflect the terms of the award and may include other terms and conditions reasonably necessary for implementation of the program pursuant to this chapter and </w:t>
      </w:r>
      <w:r>
        <w:rPr>
          <w:rFonts w:ascii="Times New Roman" w:hAnsi="Times New Roman"/>
          <w:b w:val="false"/>
          <w:i w:val="false"/>
          <w:color w:val="000000"/>
          <w:sz w:val="22"/>
        </w:rPr>
        <w:t>2022 Iowa Acts, House File 2564</w:t>
      </w:r>
      <w:r>
        <w:rPr>
          <w:rFonts w:ascii="Times New Roman" w:hAnsi="Times New Roman"/>
          <w:b w:val="false"/>
          <w:i w:val="false"/>
          <w:color w:val="000000"/>
          <w:sz w:val="22"/>
        </w:rPr>
        <w:t>. The nonprofit affiliate and the grantee must execute an agreement before funds are disbursed by the nonprofit affiliate. The nonprofit affiliate must provide a copy of each agreement executed by the affiliate and a grantee to the authority within 30 days of execution.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6956C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265—47.4</w:t>
      </w:r>
      <w:r>
        <w:rPr>
          <w:rFonts w:ascii="Times New Roman" w:hAnsi="Times New Roman"/>
          <w:b/>
          <w:i w:val="false"/>
          <w:color w:val="000000"/>
          <w:sz w:val="22"/>
        </w:rPr>
        <w:t xml:space="preserve">(89GA,HF2564)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The nonprofit affiliate must submit a report to the authority on or before November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described in </w:t>
      </w:r>
      <w:r>
        <w:rPr>
          <w:rFonts w:ascii="Times New Roman" w:hAnsi="Times New Roman"/>
          <w:b w:val="false"/>
          <w:i w:val="false"/>
          <w:color w:val="000000"/>
          <w:sz w:val="22"/>
        </w:rPr>
        <w:t>2022 Iowa Acts, House File 2564</w:t>
      </w:r>
      <w:r>
        <w:rPr>
          <w:rFonts w:ascii="Times New Roman" w:hAnsi="Times New Roman"/>
          <w:b w:val="false"/>
          <w:i w:val="false"/>
          <w:color w:val="000000"/>
          <w:sz w:val="22"/>
        </w:rPr>
        <w:t>, division III, the nonprofit affiliate must report on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each grantee’s project and grantee’s progress toward completion of its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 price and sale closing date of each ownership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income level of each homebuyer purchasing an ownership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street address, city, zip code and county of each ownership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funds awarded to each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funds expended by each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amount of funds obligated by each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amount of funds leveraged by each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reasonably requested by the authority in sufficient detail to permit the authority to prepare any reports required by the authority,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6956C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2022 Iowa Acts, House File 2564</w:t>
      </w:r>
      <w:r>
        <w:rPr>
          <w:rFonts w:ascii="Times New Roman" w:hAnsi="Times New Roman"/>
          <w:b w:val="false"/>
          <w:i w:val="false"/>
          <w:color w:val="000000"/>
          <w:sz w:val="22"/>
        </w:rPr>
        <w:t>, division III.</w:t>
      </w:r>
    </w:p>
    <w:p>
      <w:pPr>
        <w:spacing w:before="0" w:after="0"/>
        <w:ind w:left="120"/>
        <w:jc w:val="center"/>
      </w:pPr>
      <w:r>
        <w:rPr>
          <w:rFonts w:ascii="Times New Roman" w:hAnsi="Times New Roman"/>
          <w:b w:val="false"/>
          <w:i w:val="false"/>
          <w:color w:val="000000"/>
          <w:sz w:val="21"/>
        </w:rPr>
        <w:t>[Filed ARC 6956C</w:t>
      </w:r>
      <w:r>
        <w:rPr>
          <w:rFonts w:ascii="Times New Roman" w:hAnsi="Times New Roman"/>
          <w:b w:val="false"/>
          <w:i w:val="false"/>
          <w:color w:val="000000"/>
          <w:sz w:val="21"/>
        </w:rPr>
        <w:t xml:space="preserve"> (Notice ARC 6819C, IAB 1/11/23)</w:t>
      </w:r>
      <w:r>
        <w:rPr>
          <w:rFonts w:ascii="Times New Roman" w:hAnsi="Times New Roman"/>
          <w:b w:val="false"/>
          <w:i w:val="false"/>
          <w:color w:val="000000"/>
          <w:sz w:val="21"/>
        </w:rPr>
        <w:t>, IAB 3/22/23, effective 4/26/23]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