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 xml:space="preserve">COMMUNITY HOUSING AND SERVICES FOR PERSONS </w:t>
      </w:r>
      <w:r>
        <w:br/>
      </w:r>
      <w:r>
        <w:rPr>
          <w:rFonts w:ascii="Times New Roman" w:hAnsi="Times New Roman"/>
          <w:b w:val="false"/>
          <w:i w:val="false"/>
          <w:color w:val="000000"/>
          <w:sz w:val="21"/>
        </w:rPr>
        <w:t>WITH DISABILITIES 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4/8/31</w:t>
      </w:r>
    </w:p>
    <w:p>
      <w:pPr>
        <w:spacing w:before="0" w:after="0"/>
        <w:ind w:left="120"/>
        <w:jc w:val="both"/>
      </w:pPr>
      <w:r>
        <w:rPr>
          <w:rFonts w:ascii="Times New Roman" w:hAnsi="Times New Roman"/>
          <w:b/>
          <w:i w:val="false"/>
          <w:color w:val="000000"/>
          <w:sz w:val="22"/>
        </w:rPr>
        <w:t>265—43.1</w:t>
      </w:r>
      <w:r>
        <w:rPr>
          <w:rFonts w:ascii="Times New Roman" w:hAnsi="Times New Roman"/>
          <w:b/>
          <w:i w:val="false"/>
          <w:color w:val="000000"/>
          <w:sz w:val="22"/>
        </w:rPr>
        <w:t xml:space="preserve">(16)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means the Iowa finance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“Infrastructure”</w:t>
      </w:r>
      <w:r>
        <w:rPr>
          <w:rFonts w:ascii="Times New Roman" w:hAnsi="Times New Roman"/>
          <w:b w:val="false"/>
          <w:i w:val="false"/>
          <w:color w:val="000000"/>
          <w:sz w:val="22"/>
        </w:rPr>
        <w:t> </w:t>
      </w:r>
      <w:r>
        <w:rPr>
          <w:rFonts w:ascii="Times New Roman" w:hAnsi="Times New Roman"/>
          <w:b w:val="false"/>
          <w:i w:val="false"/>
          <w:color w:val="000000"/>
          <w:sz w:val="22"/>
        </w:rPr>
        <w:t>means the building and permanent improvements necessary for the support of Medicaid waiver-eligible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waiver-eligible”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eligible to receive </w:t>
      </w:r>
      <w:r>
        <w:rPr>
          <w:rFonts w:ascii="Times New Roman" w:hAnsi="Times New Roman"/>
          <w:b w:val="false"/>
          <w:i w:val="false"/>
          <w:color w:val="000000"/>
          <w:sz w:val="22"/>
        </w:rPr>
        <w:t>19 U.S.C.</w:t>
      </w:r>
      <w:r>
        <w:rPr>
          <w:rFonts w:ascii="Times New Roman" w:hAnsi="Times New Roman"/>
          <w:b w:val="false"/>
          <w:i w:val="false"/>
          <w:color w:val="000000"/>
          <w:sz w:val="22"/>
        </w:rPr>
        <w:t xml:space="preserve"> Section 1915(c) home and community-based services waivers under </w:t>
      </w:r>
      <w:hyperlink r:id="rId5">
        <w:r>
          <w:rPr>
            <w:rStyle w:val="Hyperlink"/>
            <w:rFonts w:ascii="Times New Roman" w:hAnsi="Times New Roman"/>
            <w:b w:val="false"/>
            <w:i w:val="false"/>
            <w:color w:val="000000"/>
            <w:sz w:val="22"/>
          </w:rPr>
          <w:t>441—Chapter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supportive housing”</w:t>
      </w:r>
      <w:r>
        <w:rPr>
          <w:rFonts w:ascii="Times New Roman" w:hAnsi="Times New Roman"/>
          <w:b w:val="false"/>
          <w:i w:val="false"/>
          <w:color w:val="000000"/>
          <w:sz w:val="22"/>
        </w:rPr>
        <w:t> </w:t>
      </w:r>
      <w:r>
        <w:rPr>
          <w:rFonts w:ascii="Times New Roman" w:hAnsi="Times New Roman"/>
          <w:b w:val="false"/>
          <w:i w:val="false"/>
          <w:color w:val="000000"/>
          <w:sz w:val="22"/>
        </w:rPr>
        <w:t>means a community-based dwelling that has supportive services for persons with disabilities. This type of supportive housing enables special needs populations to live as independently as possible in a permanent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“PMIC”</w:t>
      </w:r>
      <w:r>
        <w:rPr>
          <w:rFonts w:ascii="Times New Roman" w:hAnsi="Times New Roman"/>
          <w:b w:val="false"/>
          <w:i w:val="false"/>
          <w:color w:val="000000"/>
          <w:sz w:val="22"/>
        </w:rPr>
        <w:t> </w:t>
      </w:r>
      <w:r>
        <w:rPr>
          <w:rFonts w:ascii="Times New Roman" w:hAnsi="Times New Roman"/>
          <w:b w:val="false"/>
          <w:i w:val="false"/>
          <w:color w:val="000000"/>
          <w:sz w:val="22"/>
        </w:rPr>
        <w:t>means psychiatric medical institutions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the community housing and services for persons with disabilities revolving loan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0115D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265—43.2</w:t>
      </w:r>
      <w:r>
        <w:rPr>
          <w:rFonts w:ascii="Times New Roman" w:hAnsi="Times New Roman"/>
          <w:b/>
          <w:i w:val="false"/>
          <w:color w:val="000000"/>
          <w:sz w:val="22"/>
        </w:rPr>
        <w:t xml:space="preserve">(16) </w:t>
      </w:r>
      <w:r>
        <w:rPr>
          <w:rFonts w:ascii="Times New Roman" w:hAnsi="Times New Roman"/>
          <w:b/>
          <w:i w:val="false"/>
          <w:color w:val="000000"/>
          <w:sz w:val="22"/>
        </w:rPr>
        <w:t xml:space="preserve">Award of loan funds. </w:t>
      </w:r>
      <w:r>
        <w:rPr>
          <w:rFonts w:ascii="Times New Roman" w:hAnsi="Times New Roman"/>
          <w:b w:val="false"/>
          <w:i w:val="false"/>
          <w:color w:val="000000"/>
          <w:sz w:val="22"/>
        </w:rPr>
        <w:t>It is the authority’s intent to award loans under the program to those applicants that meet all of the requirements of this chapter and the published underwriting standards of the loan program. The authority intends to award the available funds under this program each year if applicants meet all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0115D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Any unallocated or recovered funds, payments of interest and principal, or any combination thereof, may be awarded or may be carried over to the next year’s cycle of loans at the discretion of the authority. The authority occasionally will take such applications and will analyze and award loans to applicants on an ongoing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0115D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265—43.4</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 based on the following program guidelines after receiving approval of a service plan to benefit the Medicaid waiver-eligible individuals who reside in the project. The service provider may apply for the loan fund; however, the service provider does not have to be the applicant for the loan fund. If the service provider is not the loan applicant, a memorandum of understanding must exist between the loan applicant and the service provider that shows an obligation on behalf of the service provider to deliver services to the Medicaid waiver-eligible individuals residing in the project and that shows that the loan applicant is obligated to offer housing to the Medicaid waiver-eligible individuals who need the services provided by the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43.4(1)</w:t>
      </w:r>
      <w:r>
        <w:rPr>
          <w:rFonts w:ascii="Times New Roman" w:hAnsi="Times New Roman"/>
          <w:b w:val="false"/>
          <w:i w:val="false"/>
          <w:color w:val="000000"/>
          <w:sz w:val="22"/>
        </w:rPr>
        <w:t> </w:t>
      </w:r>
      <w:r>
        <w:rPr>
          <w:rFonts w:ascii="Times New Roman" w:hAnsi="Times New Roman"/>
          <w:b w:val="false"/>
          <w:i w:val="false"/>
          <w:color w:val="000000"/>
          <w:sz w:val="22"/>
        </w:rPr>
        <w:t>Projects meeting the following criteria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approval from the department for the proposed project is obtained prior to application for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to be approved by the department, the project must demonstrate all of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project serves one of the following Medicaid waiver-eligible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Individuals who are currently underserved in community settings, including individuals who are physically aggressive or have behaviors that are difficult to manage or individuals who meet the PMIC level of care;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Individuals who are currently placed out of state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who are currently receiving care in an Iowa-licensed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to provide each Medicaid waiver-eligible individual with crisis stabilization services to ensure that the individual’s behavioral issues are appropriately addressed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that prohibit discharge of the Medicaid waiver-eligible individual from the waiver services provided by the project provider unless an alternative placement that is acceptable to the individual or the individual’s guardian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be approved by the department for application for funding for development of infrastructure in which to provide supportive services under this chapter, a project shall include all of the following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Provision of services to Medicaid waiver-eligible individuals who meet the PMIC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that prohibit discharge of the Medicaid waiver-eligible individual from the waiver services provided by the project provider, unless an alternative placement that is acceptable to the individual or the individual’s guardian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other similar activities as may be determined by the authority to fall within the guidelines and purposes established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43.4(3)</w:t>
      </w:r>
      <w:r>
        <w:rPr>
          <w:rFonts w:ascii="Times New Roman" w:hAnsi="Times New Roman"/>
          <w:b w:val="false"/>
          <w:i w:val="false"/>
          <w:color w:val="000000"/>
          <w:sz w:val="22"/>
        </w:rPr>
        <w:t> </w:t>
      </w:r>
      <w:r>
        <w:rPr>
          <w:rFonts w:ascii="Times New Roman" w:hAnsi="Times New Roman"/>
          <w:b w:val="false"/>
          <w:i w:val="false"/>
          <w:color w:val="000000"/>
          <w:sz w:val="22"/>
        </w:rPr>
        <w:t>Assistance will be provided upon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loan amount is $50,000, and the maximum loan amount is $500,000. The maximum loan term and the amortization period is each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acceptable debt service ratio and loan-to-value ratio will be calculated and determined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rates will be set by the authority, in its sole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Loans shall be secured by a first mortgage to the extent possible. Construction financing may be awarded to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Recipients of assistance must agree to observe several covenants and restrictions all in accordance with such loan and mortgage documents as may be required by the authority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recipient must show that its title in the real estate on which the project is to be located is a marketable title pursuant to Iowa Land Title Examination Standards or other applicable law through a title guaranty certificate issued by the title guaranty division of the Iowa finance authority that shows the recipient as the guaranteed and that includes any endorsements required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Recipients must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43.4(4)</w:t>
      </w:r>
      <w:r>
        <w:rPr>
          <w:rFonts w:ascii="Times New Roman" w:hAnsi="Times New Roman"/>
          <w:b w:val="false"/>
          <w:i w:val="false"/>
          <w:color w:val="000000"/>
          <w:sz w:val="22"/>
        </w:rPr>
        <w:t> </w:t>
      </w:r>
      <w:r>
        <w:rPr>
          <w:rFonts w:ascii="Times New Roman" w:hAnsi="Times New Roman"/>
          <w:b w:val="false"/>
          <w:i w:val="false"/>
          <w:color w:val="000000"/>
          <w:sz w:val="22"/>
        </w:rPr>
        <w:t>Loan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fee – 0.3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Inspection fee (construction loan) – 0.5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0115D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265—43.5</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will analyze and underwrite each potential project and will make recommendations for funding assistance to the authority board of directors.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 of circumstances attributable to each particular application/transaction, the terms and conditions of loans will vary from project to project. The authority will make available its general operating procedures and guidelines for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0115D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265—43.6</w:t>
      </w:r>
      <w:r>
        <w:rPr>
          <w:rFonts w:ascii="Times New Roman" w:hAnsi="Times New Roman"/>
          <w:b/>
          <w:i w:val="false"/>
          <w:color w:val="000000"/>
          <w:sz w:val="22"/>
        </w:rPr>
        <w:t xml:space="preserve">(16) </w:t>
      </w:r>
      <w:r>
        <w:rPr>
          <w:rFonts w:ascii="Times New Roman" w:hAnsi="Times New Roman"/>
          <w:b/>
          <w:i w:val="false"/>
          <w:color w:val="000000"/>
          <w:sz w:val="22"/>
        </w:rPr>
        <w:t xml:space="preserve">Discretion of authority board. </w:t>
      </w:r>
      <w:r>
        <w:rPr>
          <w:rFonts w:ascii="Times New Roman" w:hAnsi="Times New Roman"/>
          <w:b w:val="false"/>
          <w:i w:val="false"/>
          <w:color w:val="000000"/>
          <w:sz w:val="22"/>
        </w:rPr>
        <w:t>The authority board of directors has the sole and final discretion to award or not to award assistance and to approve final loan terms.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0115D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265—43.7</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If all requirements of the authority are not met in accordance with any time frames set by the authority and to the complete satisfaction of the authority, all in the sole discretion of the authority, the authority may determine to cease work on an approved project and, accordingly, not advance any funds for such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0115D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16.5(1)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16.49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9690B, IAB 8/24/11, effective 8/18/11]</w:t>
      </w:r>
    </w:p>
    <w:p>
      <w:pPr>
        <w:spacing w:before="0" w:after="0"/>
        <w:ind w:left="120"/>
        <w:jc w:val="center"/>
      </w:pPr>
      <w:r>
        <w:rPr>
          <w:rFonts w:ascii="Times New Roman" w:hAnsi="Times New Roman"/>
          <w:b w:val="false"/>
          <w:i w:val="false"/>
          <w:color w:val="000000"/>
          <w:sz w:val="21"/>
        </w:rPr>
        <w:t>[Filed ARC 9878B</w:t>
      </w:r>
      <w:r>
        <w:rPr>
          <w:rFonts w:ascii="Times New Roman" w:hAnsi="Times New Roman"/>
          <w:b w:val="false"/>
          <w:i w:val="false"/>
          <w:color w:val="000000"/>
          <w:sz w:val="21"/>
        </w:rPr>
        <w:t xml:space="preserve"> (Notice ARC 9692B, IAB 8/24/11)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2008C</w:t>
      </w:r>
      <w:r>
        <w:rPr>
          <w:rFonts w:ascii="Times New Roman" w:hAnsi="Times New Roman"/>
          <w:b w:val="false"/>
          <w:i w:val="false"/>
          <w:color w:val="000000"/>
          <w:sz w:val="21"/>
        </w:rPr>
        <w:t xml:space="preserve"> (Notice ARC 1903C, IAB 3/4/15)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0115D</w:t>
      </w:r>
      <w:r>
        <w:rPr>
          <w:rFonts w:ascii="Times New Roman" w:hAnsi="Times New Roman"/>
          <w:b w:val="false"/>
          <w:i w:val="false"/>
          <w:color w:val="000000"/>
          <w:sz w:val="21"/>
        </w:rPr>
        <w:t xml:space="preserve"> (Notice ARC 9799C, IAB 12/10/25)</w:t>
      </w:r>
      <w:r>
        <w:rPr>
          <w:rFonts w:ascii="Times New Roman" w:hAnsi="Times New Roman"/>
          <w:b w:val="false"/>
          <w:i w:val="false"/>
          <w:color w:val="000000"/>
          <w:sz w:val="21"/>
        </w:rPr>
        <w:t>, IAB 3/4/26, effective 4/8/26]</w:t>
      </w:r>
    </w:p>
    <w:sectPr>
      <w:footerReference r:id="rId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83.pdf" Type="http://schemas.openxmlformats.org/officeDocument/2006/relationships/hyperlink" Id="rId5"/>
    <Relationship TargetMode="External" Target="https://www.legis.iowa.gov/docs/ico/chapter/16.5.pdf" Type="http://schemas.openxmlformats.org/officeDocument/2006/relationships/hyperlink" Id="rId6"/>
    <Relationship TargetMode="External" Target="https://www.legis.iowa.gov/docs/ico/chapter/16.4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