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42</w:t>
      </w:r>
    </w:p>
    <w:p>
      <w:pPr>
        <w:spacing w:before="0" w:after="0"/>
        <w:ind w:left="120"/>
        <w:jc w:val="center"/>
      </w:pPr>
      <w:r>
        <w:rPr>
          <w:rFonts w:ascii="Times New Roman" w:hAnsi="Times New Roman"/>
          <w:b w:val="false"/>
          <w:i w:val="false"/>
          <w:color w:val="000000"/>
          <w:sz w:val="21"/>
        </w:rPr>
        <w:t>EMERGENCY SOLUTIONS GRANT PROGRAM</w:t>
      </w:r>
    </w:p>
    <w:p>
      <w:pPr>
        <w:spacing w:before="0" w:after="0"/>
        <w:ind w:left="120"/>
        <w:jc w:val="center"/>
      </w:pPr>
      <w:r>
        <w:rPr>
          <w:rFonts w:ascii="Times New Roman" w:hAnsi="Times New Roman"/>
          <w:b w:val="false"/>
          <w:i w:val="false"/>
          <w:color w:val="000000"/>
          <w:sz w:val="14"/>
        </w:rPr>
        <w:t>[Prior to 10/20/10, see 261—Ch 24]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8/13/30</w:t>
      </w:r>
    </w:p>
    <w:p>
      <w:pPr>
        <w:spacing w:before="0" w:after="0"/>
        <w:ind w:left="120"/>
        <w:jc w:val="both"/>
      </w:pPr>
      <w:r>
        <w:rPr>
          <w:rFonts w:ascii="Times New Roman" w:hAnsi="Times New Roman"/>
          <w:b/>
          <w:i w:val="false"/>
          <w:color w:val="000000"/>
          <w:sz w:val="22"/>
        </w:rPr>
        <w:t>265—42.1</w:t>
      </w:r>
      <w:r>
        <w:rPr>
          <w:rFonts w:ascii="Times New Roman" w:hAnsi="Times New Roman"/>
          <w:b/>
          <w:i w:val="false"/>
          <w:color w:val="000000"/>
          <w:sz w:val="22"/>
        </w:rPr>
        <w:t xml:space="preserve">(16) </w:t>
      </w:r>
      <w:r>
        <w:rPr>
          <w:rFonts w:ascii="Times New Roman" w:hAnsi="Times New Roman"/>
          <w:b/>
          <w:i w:val="false"/>
          <w:color w:val="000000"/>
          <w:sz w:val="22"/>
        </w:rPr>
        <w:t xml:space="preserve">Purpose. </w:t>
      </w:r>
      <w:r>
        <w:rPr>
          <w:rFonts w:ascii="Times New Roman" w:hAnsi="Times New Roman"/>
          <w:b w:val="false"/>
          <w:i w:val="false"/>
          <w:color w:val="000000"/>
          <w:sz w:val="22"/>
        </w:rPr>
        <w:t>The Emergency Solutions Grant Program (ESG program) is a federal program of the U.S. Department of Housing and Urban Development (HUD) as set forth in Title 42 of the U.S. Code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Sections 11371-11378) as well as parts of Title 24 of the Code of Federal Regulations (</w:t>
      </w:r>
      <w:r>
        <w:rPr>
          <w:rFonts w:ascii="Times New Roman" w:hAnsi="Times New Roman"/>
          <w:b w:val="false"/>
          <w:i w:val="false"/>
          <w:color w:val="000000"/>
          <w:sz w:val="22"/>
        </w:rPr>
        <w:t>24 CFR Part 576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9408C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265—42.2</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 eligible provider of eligible homeless services that is applying for funds through the ESG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means the Iowa finance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“Domestic violence shelter” </w:t>
      </w:r>
      <w:r>
        <w:rPr>
          <w:rFonts w:ascii="Times New Roman" w:hAnsi="Times New Roman"/>
          <w:b w:val="false"/>
          <w:i w:val="false"/>
          <w:color w:val="000000"/>
          <w:sz w:val="22"/>
        </w:rPr>
        <w:t>means a homeless shelter primarily or exclusively serving clients who are homeless due to domestic violence.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“DVIMS” </w:t>
      </w:r>
      <w:r>
        <w:rPr>
          <w:rFonts w:ascii="Times New Roman" w:hAnsi="Times New Roman"/>
          <w:b w:val="false"/>
          <w:i w:val="false"/>
          <w:color w:val="000000"/>
          <w:sz w:val="22"/>
        </w:rPr>
        <w:t>means the Domestic Violence Information Management System, which is Iowa’s designated database for domestic violence shelters.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“HMIS” </w:t>
      </w:r>
      <w:r>
        <w:rPr>
          <w:rFonts w:ascii="Times New Roman" w:hAnsi="Times New Roman"/>
          <w:b w:val="false"/>
          <w:i w:val="false"/>
          <w:color w:val="000000"/>
          <w:sz w:val="22"/>
        </w:rPr>
        <w:t xml:space="preserve">means the Homeless Management Information System as defined in </w:t>
      </w:r>
      <w:r>
        <w:rPr>
          <w:rFonts w:ascii="Times New Roman" w:hAnsi="Times New Roman"/>
          <w:b w:val="false"/>
          <w:i w:val="false"/>
          <w:color w:val="000000"/>
          <w:sz w:val="22"/>
        </w:rPr>
        <w:t>24 CFR Part 576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“Homeless” </w:t>
      </w:r>
      <w:r>
        <w:rPr>
          <w:rFonts w:ascii="Times New Roman" w:hAnsi="Times New Roman"/>
          <w:b w:val="false"/>
          <w:i w:val="false"/>
          <w:color w:val="000000"/>
          <w:sz w:val="22"/>
        </w:rPr>
        <w:t xml:space="preserve">means the same as set forth in </w:t>
      </w:r>
      <w:r>
        <w:rPr>
          <w:rFonts w:ascii="Times New Roman" w:hAnsi="Times New Roman"/>
          <w:b w:val="false"/>
          <w:i w:val="false"/>
          <w:color w:val="000000"/>
          <w:sz w:val="22"/>
        </w:rPr>
        <w:t>24 CFR Part 576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“Homeless shelter”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“shelter” </w:t>
      </w:r>
      <w:r>
        <w:rPr>
          <w:rFonts w:ascii="Times New Roman" w:hAnsi="Times New Roman"/>
          <w:b w:val="false"/>
          <w:i w:val="false"/>
          <w:color w:val="000000"/>
          <w:sz w:val="22"/>
        </w:rPr>
        <w:t>means a facility properly zoned and lawfully operating in compliance with all state, county and municipal laws and regulations, including possessing all permits, licenses, certifications and other authorizations required for the facility’s location, that provides temporary shelter with overnight sleeping accommodations for homeless persons and that does not require occupants to sign leases or occupancy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nonprofit organization” </w:t>
      </w:r>
      <w:r>
        <w:rPr>
          <w:rFonts w:ascii="Times New Roman" w:hAnsi="Times New Roman"/>
          <w:b w:val="false"/>
          <w:i w:val="false"/>
          <w:color w:val="000000"/>
          <w:sz w:val="22"/>
        </w:rPr>
        <w:t xml:space="preserve">means an organization as set forth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11371 that has registered with the state of Iowa as a nonprofit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“SAF” </w:t>
      </w:r>
      <w:r>
        <w:rPr>
          <w:rFonts w:ascii="Times New Roman" w:hAnsi="Times New Roman"/>
          <w:b w:val="false"/>
          <w:i w:val="false"/>
          <w:color w:val="000000"/>
          <w:sz w:val="22"/>
        </w:rPr>
        <w:t xml:space="preserve">means the shelter assistance fund as set forth in Iowa Code section </w:t>
      </w:r>
      <w:hyperlink r:id="rId5">
        <w:r>
          <w:rPr>
            <w:rStyle w:val="Hyperlink"/>
            <w:rFonts w:ascii="Times New Roman" w:hAnsi="Times New Roman"/>
            <w:b w:val="false"/>
            <w:i w:val="false"/>
            <w:color w:val="000000"/>
            <w:sz w:val="22"/>
          </w:rPr>
          <w:t>16.41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“Subrecipient” </w:t>
      </w:r>
      <w:r>
        <w:rPr>
          <w:rFonts w:ascii="Times New Roman" w:hAnsi="Times New Roman"/>
          <w:b w:val="false"/>
          <w:i w:val="false"/>
          <w:color w:val="000000"/>
          <w:sz w:val="22"/>
        </w:rPr>
        <w:t>means any private nonprofit organization or city or county government to which the authority distributes ESG program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9408C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265—42.3</w:t>
      </w:r>
      <w:r>
        <w:rPr>
          <w:rFonts w:ascii="Times New Roman" w:hAnsi="Times New Roman"/>
          <w:b/>
          <w:i w:val="false"/>
          <w:color w:val="000000"/>
          <w:sz w:val="22"/>
        </w:rPr>
        <w:t xml:space="preserve">(16) </w:t>
      </w:r>
      <w:r>
        <w:rPr>
          <w:rFonts w:ascii="Times New Roman" w:hAnsi="Times New Roman"/>
          <w:b/>
          <w:i w:val="false"/>
          <w:color w:val="000000"/>
          <w:sz w:val="22"/>
        </w:rPr>
        <w:t xml:space="preserve">Eligible applicants. </w:t>
      </w:r>
      <w:r>
        <w:rPr>
          <w:rFonts w:ascii="Times New Roman" w:hAnsi="Times New Roman"/>
          <w:b w:val="false"/>
          <w:i w:val="false"/>
          <w:color w:val="000000"/>
          <w:sz w:val="22"/>
        </w:rPr>
        <w:t>City governments, county governments, and private nonprofit organizations are eligible applicants under the ESG program. City or county governments may apply on behalf of a nonprofit service provider within their jurisdictions when the nonprofit service provider would otherwise qualify as an eligible applicant under the ESG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9408C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265—42.4</w:t>
      </w:r>
      <w:r>
        <w:rPr>
          <w:rFonts w:ascii="Times New Roman" w:hAnsi="Times New Roman"/>
          <w:b/>
          <w:i w:val="false"/>
          <w:color w:val="000000"/>
          <w:sz w:val="22"/>
        </w:rPr>
        <w:t xml:space="preserve">(16) </w:t>
      </w:r>
      <w:r>
        <w:rPr>
          <w:rFonts w:ascii="Times New Roman" w:hAnsi="Times New Roman"/>
          <w:b/>
          <w:i w:val="false"/>
          <w:color w:val="000000"/>
          <w:sz w:val="22"/>
        </w:rPr>
        <w:t xml:space="preserve">Eligible activities. </w:t>
      </w:r>
      <w:r>
        <w:rPr>
          <w:rFonts w:ascii="Times New Roman" w:hAnsi="Times New Roman"/>
          <w:b w:val="false"/>
          <w:i w:val="false"/>
          <w:color w:val="000000"/>
          <w:sz w:val="22"/>
        </w:rPr>
        <w:t>Eligible activities may include only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42.4(1)</w:t>
      </w:r>
      <w:r>
        <w:rPr>
          <w:rFonts w:ascii="Times New Roman" w:hAnsi="Times New Roman"/>
          <w:b w:val="false"/>
          <w:i w:val="false"/>
          <w:color w:val="000000"/>
          <w:sz w:val="22"/>
        </w:rPr>
        <w:t> </w:t>
      </w:r>
      <w:r>
        <w:rPr>
          <w:rFonts w:ascii="Times New Roman" w:hAnsi="Times New Roman"/>
          <w:b w:val="false"/>
          <w:i/>
          <w:color w:val="000000"/>
          <w:sz w:val="22"/>
        </w:rPr>
        <w:t xml:space="preserve">Street outreach. </w:t>
      </w:r>
      <w:r>
        <w:rPr>
          <w:rFonts w:ascii="Times New Roman" w:hAnsi="Times New Roman"/>
          <w:b w:val="false"/>
          <w:i w:val="false"/>
          <w:color w:val="000000"/>
          <w:sz w:val="22"/>
        </w:rPr>
        <w:t>The provision of essential services necessary to reach out to unsheltered homeless people; to connect them with shelter, housing, or critical services; and to provide urgent, non-facility-based care to unsheltered homeless people who are unwilling or unable to access shelter, housing, or an appropriate health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42.4(2)</w:t>
      </w:r>
      <w:r>
        <w:rPr>
          <w:rFonts w:ascii="Times New Roman" w:hAnsi="Times New Roman"/>
          <w:b w:val="false"/>
          <w:i w:val="false"/>
          <w:color w:val="000000"/>
          <w:sz w:val="22"/>
        </w:rPr>
        <w:t> </w:t>
      </w:r>
      <w:r>
        <w:rPr>
          <w:rFonts w:ascii="Times New Roman" w:hAnsi="Times New Roman"/>
          <w:b w:val="false"/>
          <w:i/>
          <w:color w:val="000000"/>
          <w:sz w:val="22"/>
        </w:rPr>
        <w:t xml:space="preserve">Shelter. </w:t>
      </w:r>
      <w:r>
        <w:rPr>
          <w:rFonts w:ascii="Times New Roman" w:hAnsi="Times New Roman"/>
          <w:b w:val="false"/>
          <w:i w:val="false"/>
          <w:color w:val="000000"/>
          <w:sz w:val="22"/>
        </w:rPr>
        <w:t>The provision of essential services to homeless families and individuals in shelters, the renovation of buildings to be used as emergency shelters for homeless families and individuals, and the operation of emergency shelters.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42.4(3)</w:t>
      </w:r>
      <w:r>
        <w:rPr>
          <w:rFonts w:ascii="Times New Roman" w:hAnsi="Times New Roman"/>
          <w:b w:val="false"/>
          <w:i w:val="false"/>
          <w:color w:val="000000"/>
          <w:sz w:val="22"/>
        </w:rPr>
        <w:t> </w:t>
      </w:r>
      <w:r>
        <w:rPr>
          <w:rFonts w:ascii="Times New Roman" w:hAnsi="Times New Roman"/>
          <w:b w:val="false"/>
          <w:i/>
          <w:color w:val="000000"/>
          <w:sz w:val="22"/>
        </w:rPr>
        <w:t xml:space="preserve">Prevention of homelessness. </w:t>
      </w:r>
      <w:r>
        <w:rPr>
          <w:rFonts w:ascii="Times New Roman" w:hAnsi="Times New Roman"/>
          <w:b w:val="false"/>
          <w:i w:val="false"/>
          <w:color w:val="000000"/>
          <w:sz w:val="22"/>
        </w:rPr>
        <w:t>The provision of housing relocation and stabilization services, short- or medium-term rental assistance, or other financial assistance as necessary to prevent an individual or family from experiencing homelessness.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42.4(4)</w:t>
      </w:r>
      <w:r>
        <w:rPr>
          <w:rFonts w:ascii="Times New Roman" w:hAnsi="Times New Roman"/>
          <w:b w:val="false"/>
          <w:i w:val="false"/>
          <w:color w:val="000000"/>
          <w:sz w:val="22"/>
        </w:rPr>
        <w:t> </w:t>
      </w:r>
      <w:r>
        <w:rPr>
          <w:rFonts w:ascii="Times New Roman" w:hAnsi="Times New Roman"/>
          <w:b w:val="false"/>
          <w:i/>
          <w:color w:val="000000"/>
          <w:sz w:val="22"/>
        </w:rPr>
        <w:t xml:space="preserve">Rapid rehousing. </w:t>
      </w:r>
      <w:r>
        <w:rPr>
          <w:rFonts w:ascii="Times New Roman" w:hAnsi="Times New Roman"/>
          <w:b w:val="false"/>
          <w:i w:val="false"/>
          <w:color w:val="000000"/>
          <w:sz w:val="22"/>
        </w:rPr>
        <w:t>The provision of housing relocation and stabilization services, short- or medium-term rental assistance, or other financial assistance as necessary to help an individual or family experiencing homelessness to move as quickly as possible into permanent housing and achieve stability in that housing.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42.4(5)</w:t>
      </w:r>
      <w:r>
        <w:rPr>
          <w:rFonts w:ascii="Times New Roman" w:hAnsi="Times New Roman"/>
          <w:b w:val="false"/>
          <w:i w:val="false"/>
          <w:color w:val="000000"/>
          <w:sz w:val="22"/>
        </w:rPr>
        <w:t> </w:t>
      </w:r>
      <w:r>
        <w:rPr>
          <w:rFonts w:ascii="Times New Roman" w:hAnsi="Times New Roman"/>
          <w:b w:val="false"/>
          <w:i/>
          <w:color w:val="000000"/>
          <w:sz w:val="22"/>
        </w:rPr>
        <w:t xml:space="preserve">Administrative costs. </w:t>
      </w:r>
      <w:r>
        <w:rPr>
          <w:rFonts w:ascii="Times New Roman" w:hAnsi="Times New Roman"/>
          <w:b w:val="false"/>
          <w:i w:val="false"/>
          <w:color w:val="000000"/>
          <w:sz w:val="22"/>
        </w:rPr>
        <w:t>A subrecipient may use a portion of a grant received for administrative purposes as determined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42.4(6)</w:t>
      </w:r>
      <w:r>
        <w:rPr>
          <w:rFonts w:ascii="Times New Roman" w:hAnsi="Times New Roman"/>
          <w:b w:val="false"/>
          <w:i w:val="false"/>
          <w:color w:val="000000"/>
          <w:sz w:val="22"/>
        </w:rPr>
        <w:t> </w:t>
      </w:r>
      <w:r>
        <w:rPr>
          <w:rFonts w:ascii="Times New Roman" w:hAnsi="Times New Roman"/>
          <w:b w:val="false"/>
          <w:i/>
          <w:color w:val="000000"/>
          <w:sz w:val="22"/>
        </w:rPr>
        <w:t xml:space="preserve">HMIS projects. </w:t>
      </w:r>
      <w:r>
        <w:rPr>
          <w:rFonts w:ascii="Times New Roman" w:hAnsi="Times New Roman"/>
          <w:b w:val="false"/>
          <w:i w:val="false"/>
          <w:color w:val="000000"/>
          <w:sz w:val="22"/>
        </w:rPr>
        <w:t xml:space="preserve">The authority may award grants for HMIS implementation to support data collection, reporting, and analysis as long as the total amount of such grants does not exceed 10 percent of the total ESG program allocation. Eligible costs may include equipment, software, services, personnel, space, and operations for HMIS activities. The authority may in its discretion award such a grant, subject to the terms of this subrule, without regard to the application and review provisions of rules </w:t>
      </w:r>
      <w:hyperlink r:id="rId6">
        <w:r>
          <w:rPr>
            <w:rStyle w:val="Hyperlink"/>
            <w:rFonts w:ascii="Times New Roman" w:hAnsi="Times New Roman"/>
            <w:b w:val="false"/>
            <w:i w:val="false"/>
            <w:color w:val="000000"/>
            <w:sz w:val="22"/>
          </w:rPr>
          <w:t>265—42.6</w:t>
        </w:r>
      </w:hyperlink>
      <w:r>
        <w:rPr>
          <w:rFonts w:ascii="Times New Roman" w:hAnsi="Times New Roman"/>
          <w:b w:val="false"/>
          <w:i w:val="false"/>
          <w:color w:val="000000"/>
          <w:sz w:val="22"/>
        </w:rPr>
        <w:t xml:space="preserve">(16) and </w:t>
      </w:r>
      <w:hyperlink r:id="rId7">
        <w:r>
          <w:rPr>
            <w:rStyle w:val="Hyperlink"/>
            <w:rFonts w:ascii="Times New Roman" w:hAnsi="Times New Roman"/>
            <w:b w:val="false"/>
            <w:i w:val="false"/>
            <w:color w:val="000000"/>
            <w:sz w:val="22"/>
          </w:rPr>
          <w:t>265—42.7</w:t>
        </w:r>
      </w:hyperlink>
      <w:r>
        <w:rPr>
          <w:rFonts w:ascii="Times New Roman" w:hAnsi="Times New Roman"/>
          <w:b w:val="false"/>
          <w:i w:val="false"/>
          <w:color w:val="000000"/>
          <w:sz w:val="22"/>
        </w:rPr>
        <w:t xml:space="preserve">(16). Subrecipients of grants in support of other eligible activities listed in </w:t>
      </w:r>
      <w:hyperlink r:id="rId8">
        <w:r>
          <w:rPr>
            <w:rStyle w:val="Hyperlink"/>
            <w:rFonts w:ascii="Times New Roman" w:hAnsi="Times New Roman"/>
            <w:b w:val="false"/>
            <w:i w:val="false"/>
            <w:color w:val="000000"/>
            <w:sz w:val="22"/>
          </w:rPr>
          <w:t>subrules 42.4(1) through 42.4(4)</w:t>
        </w:r>
      </w:hyperlink>
      <w:r>
        <w:rPr>
          <w:rFonts w:ascii="Times New Roman" w:hAnsi="Times New Roman"/>
          <w:b w:val="false"/>
          <w:i w:val="false"/>
          <w:color w:val="000000"/>
          <w:sz w:val="22"/>
        </w:rPr>
        <w:t xml:space="preserve"> may also use a portion of such grants to support data collection and reporting using the HMIS or the DVIMS.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9408C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265—42.5</w:t>
      </w:r>
      <w:r>
        <w:rPr>
          <w:rFonts w:ascii="Times New Roman" w:hAnsi="Times New Roman"/>
          <w:b/>
          <w:i w:val="false"/>
          <w:color w:val="000000"/>
          <w:sz w:val="22"/>
        </w:rPr>
        <w:t xml:space="preserve">(16) </w:t>
      </w:r>
      <w:r>
        <w:rPr>
          <w:rFonts w:ascii="Times New Roman" w:hAnsi="Times New Roman"/>
          <w:b/>
          <w:i w:val="false"/>
          <w:color w:val="000000"/>
          <w:sz w:val="22"/>
        </w:rPr>
        <w:t xml:space="preserve">Ineligible activities. </w:t>
      </w:r>
      <w:r>
        <w:rPr>
          <w:rFonts w:ascii="Times New Roman" w:hAnsi="Times New Roman"/>
          <w:b w:val="false"/>
          <w:i w:val="false"/>
          <w:color w:val="000000"/>
          <w:sz w:val="22"/>
        </w:rPr>
        <w:t xml:space="preserve">Any activity that is not authorized under the provisions of the McKinney-Vento Homeless Assistance Act as amended by the Homeless Emergency Assistance and Rapid Transition to Housing Act of 2009 (HEARTH Act), and implemented by </w:t>
      </w:r>
      <w:r>
        <w:rPr>
          <w:rFonts w:ascii="Times New Roman" w:hAnsi="Times New Roman"/>
          <w:b w:val="false"/>
          <w:i w:val="false"/>
          <w:color w:val="000000"/>
          <w:sz w:val="22"/>
        </w:rPr>
        <w:t>24 CFR Part 576</w:t>
      </w:r>
      <w:r>
        <w:rPr>
          <w:rFonts w:ascii="Times New Roman" w:hAnsi="Times New Roman"/>
          <w:b w:val="false"/>
          <w:i w:val="false"/>
          <w:color w:val="000000"/>
          <w:sz w:val="22"/>
        </w:rPr>
        <w:t>, is ineligible to be carried out with ESG program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9408C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265—42.6</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procedures. </w:t>
      </w:r>
      <w:r>
        <w:rPr>
          <w:rFonts w:ascii="Times New Roman" w:hAnsi="Times New Roman"/>
          <w:b w:val="false"/>
          <w:i w:val="false"/>
          <w:color w:val="000000"/>
          <w:sz w:val="22"/>
        </w:rPr>
        <w:t>The authority will issue requests for applications periodically, specifying requirements, priorities, period of funding, and maximum and minimum award amounts, subject to available funds. Requests for applications may be issued jointly with the SAF program. Only applications submitted as prescribed by the authority will be considered.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9408C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265—42.7</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review process. </w:t>
      </w:r>
      <w:r>
        <w:rPr>
          <w:rFonts w:ascii="Times New Roman" w:hAnsi="Times New Roman"/>
          <w:b w:val="false"/>
          <w:i w:val="false"/>
          <w:color w:val="000000"/>
          <w:sz w:val="22"/>
        </w:rPr>
        <w:t>Applications will be reviewed based on priorities established during each funding round in accordance with the state of Iowa consolidated plan for housing and community development. Review criteria include but are not limited to applicant’s project design, applicant experience and capacity, community partnerships and need, past performance, budget and grant management, project accessibility, project partnerships, the number of persons or households served, and how well the project leverages other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42.7(1)</w:t>
      </w:r>
      <w:r>
        <w:rPr>
          <w:rFonts w:ascii="Times New Roman" w:hAnsi="Times New Roman"/>
          <w:b w:val="false"/>
          <w:i w:val="false"/>
          <w:color w:val="000000"/>
          <w:sz w:val="22"/>
        </w:rPr>
        <w:t> </w:t>
      </w:r>
      <w:r>
        <w:rPr>
          <w:rFonts w:ascii="Times New Roman" w:hAnsi="Times New Roman"/>
          <w:b w:val="false"/>
          <w:i w:val="false"/>
          <w:color w:val="000000"/>
          <w:sz w:val="22"/>
        </w:rPr>
        <w:t>If an application contains an activity determined to be ineligible, at the authority’s discretion, the ineligible activity may be deleted from the application, the applicant may be referred to another funding source or the application may be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42.7(2)</w:t>
      </w:r>
      <w:r>
        <w:rPr>
          <w:rFonts w:ascii="Times New Roman" w:hAnsi="Times New Roman"/>
          <w:b w:val="false"/>
          <w:i w:val="false"/>
          <w:color w:val="000000"/>
          <w:sz w:val="22"/>
        </w:rPr>
        <w:t> </w:t>
      </w:r>
      <w:r>
        <w:rPr>
          <w:rFonts w:ascii="Times New Roman" w:hAnsi="Times New Roman"/>
          <w:b w:val="false"/>
          <w:i w:val="false"/>
          <w:color w:val="000000"/>
          <w:sz w:val="22"/>
        </w:rPr>
        <w:t>Authority staff may review applications with other state agencies or any other party deemed appropriate in the authority’s sole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42.7(3)</w:t>
      </w:r>
      <w:r>
        <w:rPr>
          <w:rFonts w:ascii="Times New Roman" w:hAnsi="Times New Roman"/>
          <w:b w:val="false"/>
          <w:i w:val="false"/>
          <w:color w:val="000000"/>
          <w:sz w:val="22"/>
        </w:rPr>
        <w:t> </w:t>
      </w:r>
      <w:r>
        <w:rPr>
          <w:rFonts w:ascii="Times New Roman" w:hAnsi="Times New Roman"/>
          <w:b w:val="false"/>
          <w:i w:val="false"/>
          <w:color w:val="000000"/>
          <w:sz w:val="22"/>
        </w:rPr>
        <w:t>Based on the review process and subject to available funding, the authority may revise the applicant’s overall funding request by activity or funding level and recommend a final funding figure to the authority’s board of directors for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9408C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265—42.8</w:t>
      </w:r>
      <w:r>
        <w:rPr>
          <w:rFonts w:ascii="Times New Roman" w:hAnsi="Times New Roman"/>
          <w:b/>
          <w:i w:val="false"/>
          <w:color w:val="000000"/>
          <w:sz w:val="22"/>
        </w:rPr>
        <w:t xml:space="preserve">(16) </w:t>
      </w:r>
      <w:r>
        <w:rPr>
          <w:rFonts w:ascii="Times New Roman" w:hAnsi="Times New Roman"/>
          <w:b/>
          <w:i w:val="false"/>
          <w:color w:val="000000"/>
          <w:sz w:val="22"/>
        </w:rPr>
        <w:t xml:space="preserve">Matching requirement. </w:t>
      </w:r>
      <w:r>
        <w:rPr>
          <w:rFonts w:ascii="Times New Roman" w:hAnsi="Times New Roman"/>
          <w:b w:val="false"/>
          <w:i w:val="false"/>
          <w:color w:val="000000"/>
          <w:sz w:val="22"/>
        </w:rPr>
        <w:t>Each subrecipient of ESG program funds must provide matching contributions according to the requirements for each round of funding. In calculating the amount of matching funds, the following may be included: cash contributions expended for allowable costs of the subrecipient for the ESG program or noncash contributions, including the value of any real property, equipment, goods, or services contributed to the subrecipient’s ESG program-supported project, provided that, if the subrecipient had to pay for them with grant funds, the costs would have been allowable. The authority may allow an exemption of matching funds up to a maximum of $100,000 of the state allocation received from HUD for the subrecipients least capable of providing such matching amounts. Subrecipients seeking this exemption from matching requirements must document their need for the exemption and receive prior approval from the authority before the exemption becomes effective.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9408C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265—42.9</w:t>
      </w:r>
      <w:r>
        <w:rPr>
          <w:rFonts w:ascii="Times New Roman" w:hAnsi="Times New Roman"/>
          <w:b/>
          <w:i w:val="false"/>
          <w:color w:val="000000"/>
          <w:sz w:val="22"/>
        </w:rPr>
        <w:t xml:space="preserve">(16) </w:t>
      </w:r>
      <w:r>
        <w:rPr>
          <w:rFonts w:ascii="Times New Roman" w:hAnsi="Times New Roman"/>
          <w:b/>
          <w:i w:val="false"/>
          <w:color w:val="000000"/>
          <w:sz w:val="22"/>
        </w:rPr>
        <w:t xml:space="preserve">Funding awards.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42.9(1)</w:t>
      </w:r>
      <w:r>
        <w:rPr>
          <w:rFonts w:ascii="Times New Roman" w:hAnsi="Times New Roman"/>
          <w:b w:val="false"/>
          <w:i w:val="false"/>
          <w:color w:val="000000"/>
          <w:sz w:val="22"/>
        </w:rPr>
        <w:t> </w:t>
      </w:r>
      <w:r>
        <w:rPr>
          <w:rFonts w:ascii="Times New Roman" w:hAnsi="Times New Roman"/>
          <w:b w:val="false"/>
          <w:i/>
          <w:color w:val="000000"/>
          <w:sz w:val="22"/>
        </w:rPr>
        <w:t xml:space="preserve">Awards on behalf of multiple applicants. </w:t>
      </w:r>
      <w:r>
        <w:rPr>
          <w:rFonts w:ascii="Times New Roman" w:hAnsi="Times New Roman"/>
          <w:b w:val="false"/>
          <w:i w:val="false"/>
          <w:color w:val="000000"/>
          <w:sz w:val="22"/>
        </w:rPr>
        <w:t>A city or county government or private nonprofit organization may be designated, at the discretion of the authority, to administer a contract for multiple applicants within a prescribed geographic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42.9(2)</w:t>
      </w:r>
      <w:r>
        <w:rPr>
          <w:rFonts w:ascii="Times New Roman" w:hAnsi="Times New Roman"/>
          <w:b w:val="false"/>
          <w:i w:val="false"/>
          <w:color w:val="000000"/>
          <w:sz w:val="22"/>
        </w:rPr>
        <w:t> </w:t>
      </w:r>
      <w:r>
        <w:rPr>
          <w:rFonts w:ascii="Times New Roman" w:hAnsi="Times New Roman"/>
          <w:b w:val="false"/>
          <w:i/>
          <w:color w:val="000000"/>
          <w:sz w:val="22"/>
        </w:rPr>
        <w:t xml:space="preserve">Right to negotiate. </w:t>
      </w:r>
      <w:r>
        <w:rPr>
          <w:rFonts w:ascii="Times New Roman" w:hAnsi="Times New Roman"/>
          <w:b w:val="false"/>
          <w:i w:val="false"/>
          <w:color w:val="000000"/>
          <w:sz w:val="22"/>
        </w:rPr>
        <w:t>The authority reserves the right to negotiate with the subrecipient the amount of the funding award, the scale or scope of the subrecipient’s project, and alternative methods for completing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42.9(3)</w:t>
      </w:r>
      <w:r>
        <w:rPr>
          <w:rFonts w:ascii="Times New Roman" w:hAnsi="Times New Roman"/>
          <w:b w:val="false"/>
          <w:i w:val="false"/>
          <w:color w:val="000000"/>
          <w:sz w:val="22"/>
        </w:rPr>
        <w:t> </w:t>
      </w:r>
      <w:r>
        <w:rPr>
          <w:rFonts w:ascii="Times New Roman" w:hAnsi="Times New Roman"/>
          <w:b w:val="false"/>
          <w:i/>
          <w:color w:val="000000"/>
          <w:sz w:val="22"/>
        </w:rPr>
        <w:t xml:space="preserve">Special purpose awards. </w:t>
      </w:r>
      <w:r>
        <w:rPr>
          <w:rFonts w:ascii="Times New Roman" w:hAnsi="Times New Roman"/>
          <w:b w:val="false"/>
          <w:i w:val="false"/>
          <w:color w:val="000000"/>
          <w:sz w:val="22"/>
        </w:rPr>
        <w:t>The authority may, at its discretion, award any remaining funds as it sees fit within the ESG program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9408C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265—42.10</w:t>
      </w:r>
      <w:r>
        <w:rPr>
          <w:rFonts w:ascii="Times New Roman" w:hAnsi="Times New Roman"/>
          <w:b/>
          <w:i w:val="false"/>
          <w:color w:val="000000"/>
          <w:sz w:val="22"/>
        </w:rPr>
        <w:t xml:space="preserve">(16) </w:t>
      </w:r>
      <w:r>
        <w:rPr>
          <w:rFonts w:ascii="Times New Roman" w:hAnsi="Times New Roman"/>
          <w:b/>
          <w:i w:val="false"/>
          <w:color w:val="000000"/>
          <w:sz w:val="22"/>
        </w:rPr>
        <w:t xml:space="preserve">Compliance with applicable federal and state laws and regulations. </w:t>
      </w:r>
      <w:r>
        <w:rPr>
          <w:rFonts w:ascii="Times New Roman" w:hAnsi="Times New Roman"/>
          <w:b w:val="false"/>
          <w:i w:val="false"/>
          <w:color w:val="000000"/>
          <w:sz w:val="22"/>
        </w:rPr>
        <w:t>Subrecipients shall comply with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Iowa Code governing activities performed under this program;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McKinney Homeless Assistance Act and its implementing regulations;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HEARTH Act;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Uniform Administrative Requirements, Cost Principles, and Audit Requirements in </w:t>
      </w:r>
      <w:r>
        <w:rPr>
          <w:rFonts w:ascii="Times New Roman" w:hAnsi="Times New Roman"/>
          <w:b w:val="false"/>
          <w:i w:val="false"/>
          <w:color w:val="000000"/>
          <w:sz w:val="22"/>
        </w:rPr>
        <w:t>2 CFR Part 200</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Violence Against Women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9408C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265—42.11</w:t>
      </w:r>
      <w:r>
        <w:rPr>
          <w:rFonts w:ascii="Times New Roman" w:hAnsi="Times New Roman"/>
          <w:b/>
          <w:i w:val="false"/>
          <w:color w:val="000000"/>
          <w:sz w:val="22"/>
        </w:rPr>
        <w:t xml:space="preserve">(16)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42.11(1)</w:t>
      </w:r>
      <w:r>
        <w:rPr>
          <w:rFonts w:ascii="Times New Roman" w:hAnsi="Times New Roman"/>
          <w:b w:val="false"/>
          <w:i w:val="false"/>
          <w:color w:val="000000"/>
          <w:sz w:val="22"/>
        </w:rPr>
        <w:t> </w:t>
      </w:r>
      <w:r>
        <w:rPr>
          <w:rFonts w:ascii="Times New Roman" w:hAnsi="Times New Roman"/>
          <w:b w:val="false"/>
          <w:i/>
          <w:color w:val="000000"/>
          <w:sz w:val="22"/>
        </w:rPr>
        <w:t xml:space="preserve">Contracts. </w:t>
      </w:r>
      <w:r>
        <w:rPr>
          <w:rFonts w:ascii="Times New Roman" w:hAnsi="Times New Roman"/>
          <w:b w:val="false"/>
          <w:i w:val="false"/>
          <w:color w:val="000000"/>
          <w:sz w:val="22"/>
        </w:rPr>
        <w:t>Upon selection of an application for funding, the authority will initiate a contract. These rules and applicable federal and state laws and regulations will become part of the contract. Certain activities may necessitate that permits or clearances be obtained from other state or federal agencies before the start of the project. Funding awards may be conditioned upon the timely completion of these requirements or any other conditions stipulated in the contract at the authority’s sole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42.11(2)</w:t>
      </w:r>
      <w:r>
        <w:rPr>
          <w:rFonts w:ascii="Times New Roman" w:hAnsi="Times New Roman"/>
          <w:b w:val="false"/>
          <w:i w:val="false"/>
          <w:color w:val="000000"/>
          <w:sz w:val="22"/>
        </w:rPr>
        <w:t> </w:t>
      </w:r>
      <w:r>
        <w:rPr>
          <w:rFonts w:ascii="Times New Roman" w:hAnsi="Times New Roman"/>
          <w:b w:val="false"/>
          <w:i/>
          <w:color w:val="000000"/>
          <w:sz w:val="22"/>
        </w:rPr>
        <w:t xml:space="preserve">Recordkeeping and retention. </w:t>
      </w:r>
      <w:r>
        <w:rPr>
          <w:rFonts w:ascii="Times New Roman" w:hAnsi="Times New Roman"/>
          <w:b w:val="false"/>
          <w:i w:val="false"/>
          <w:color w:val="000000"/>
          <w:sz w:val="22"/>
        </w:rPr>
        <w:t>Financial records, supporting documents, statistical records, and all other records pertinent to the funded project shall be retained by the subrecipient and made available to the authority upon request. Private nonprofit subrecipients covered through an ESG program contract from a city or county government or another nonprofit organization are responsible for ensuring that pertinent records of their ESG program funds be made available to the administering city or county government or other nonprofit organization and to the authority upon request. Proper record retention must be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Retention of records for any assisted activity for five years after the end of the grant period and, if applicable, until audit procedures are completed and accepted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Access to all books, accounts, documents, records, and other property belonging to or in use by a subrecipient pertaining to the receipt of assistance under these rules by representatives of the Secretary of HUD, the Inspector General, the General Accounting Office, the Office of Auditor of State, the authority or the authority’s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42.11(3)</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Subrecipients shall submit reports to the authority as prescribed in the contract. Reports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HMIS data reports. All subrecipients are required to submit regular reports on clients served using the current HMIS reporting process as prescribed by the authority unless a subrecipient qualifies as a domestic violence shelter, in which case the subrecipient must submit reports using the DVIMS.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Requests for funds. Subrecipients must submit requests for funds during the contract period at intervals and using forms as prescribed by the authority. The authority may perform any review or field inspections it deems necessary to ensure program compliance, including review of subrecipient records and reports. When problems of compliance are noted, the authority may require remedial actions to be taken. Failure to respond to notifications of need for remedial action may result in the remedies for noncompliance set forth in subrule </w:t>
      </w:r>
      <w:hyperlink r:id="rId9">
        <w:r>
          <w:rPr>
            <w:rStyle w:val="Hyperlink"/>
            <w:rFonts w:ascii="Times New Roman" w:hAnsi="Times New Roman"/>
            <w:b w:val="false"/>
            <w:i w:val="false"/>
            <w:color w:val="000000"/>
            <w:sz w:val="22"/>
          </w:rPr>
          <w:t>42.11(4)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42.11(4)</w:t>
      </w:r>
      <w:r>
        <w:rPr>
          <w:rFonts w:ascii="Times New Roman" w:hAnsi="Times New Roman"/>
          <w:b w:val="false"/>
          <w:i w:val="false"/>
          <w:color w:val="000000"/>
          <w:sz w:val="22"/>
        </w:rPr>
        <w:t> </w:t>
      </w:r>
      <w:r>
        <w:rPr>
          <w:rFonts w:ascii="Times New Roman" w:hAnsi="Times New Roman"/>
          <w:b w:val="false"/>
          <w:i/>
          <w:color w:val="000000"/>
          <w:sz w:val="22"/>
        </w:rPr>
        <w:t xml:space="preserve">Remedies for noncompliance. </w:t>
      </w:r>
      <w:r>
        <w:rPr>
          <w:rFonts w:ascii="Times New Roman" w:hAnsi="Times New Roman"/>
          <w:b w:val="false"/>
          <w:i w:val="false"/>
          <w:color w:val="000000"/>
          <w:sz w:val="22"/>
        </w:rPr>
        <w:t>Should the authority find that a subrecipient is not in compliance with the requirements under this program, the authority may employ any remedies it deems appropriate,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Issue a warning letter stating that continued failure to comply with program requirements within a stated period of time will result in a more serious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Condition a future award on correcting compliance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 the subrecipient to stop incurring costs with grant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Require that some or all of the awarded funds be remitted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Reduce the level of funds the subrecipient would otherwise be entitled to receive.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Elect not to provide future award funds to the subrecipient until appropriate actions are taken to ensure 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9408C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265—42.12</w:t>
      </w:r>
      <w:r>
        <w:rPr>
          <w:rFonts w:ascii="Times New Roman" w:hAnsi="Times New Roman"/>
          <w:b/>
          <w:i w:val="false"/>
          <w:color w:val="000000"/>
          <w:sz w:val="22"/>
        </w:rPr>
        <w:t xml:space="preserve">(16) </w:t>
      </w:r>
      <w:r>
        <w:rPr>
          <w:rFonts w:ascii="Times New Roman" w:hAnsi="Times New Roman"/>
          <w:b/>
          <w:i w:val="false"/>
          <w:color w:val="000000"/>
          <w:sz w:val="22"/>
        </w:rPr>
        <w:t xml:space="preserve">References. </w:t>
      </w:r>
      <w:r>
        <w:rPr>
          <w:rFonts w:ascii="Times New Roman" w:hAnsi="Times New Roman"/>
          <w:b w:val="false"/>
          <w:i w:val="false"/>
          <w:color w:val="000000"/>
          <w:sz w:val="22"/>
        </w:rPr>
        <w:t>All references to the Code of Federal Regulations; United States Code; and federal acts, including the McKinney-Vento Homeless Assistance Act, the HEARTH Act, and the Violence Against Women Act, in this chapter are as in effect August 13, 2025.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9408C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16.5(1)</w:t>
        </w:r>
      </w:hyperlink>
      <w:r>
        <w:rPr>
          <w:rFonts w:ascii="Times New Roman" w:hAnsi="Times New Roman"/>
          <w:b w:val="false"/>
          <w:i/>
          <w:color w:val="000000"/>
          <w:sz w:val="22"/>
        </w:rPr>
        <w:t>“m”</w:t>
      </w:r>
      <w:r>
        <w:rPr>
          <w:rFonts w:ascii="Times New Roman" w:hAnsi="Times New Roman"/>
          <w:b w:val="false"/>
          <w:i w:val="false"/>
          <w:color w:val="000000"/>
          <w:sz w:val="22"/>
        </w:rPr>
        <w:t xml:space="preserve"> and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Sections 11371 through 11378.</w:t>
      </w:r>
    </w:p>
    <w:p>
      <w:pPr>
        <w:spacing w:before="0" w:after="0"/>
        <w:ind w:left="120"/>
        <w:jc w:val="center"/>
      </w:pPr>
      <w:r>
        <w:rPr>
          <w:rFonts w:ascii="Times New Roman" w:hAnsi="Times New Roman"/>
          <w:b w:val="false"/>
          <w:i w:val="false"/>
          <w:color w:val="000000"/>
          <w:sz w:val="21"/>
        </w:rPr>
        <w:t>[Filed Emergency ARC 9166B, IAB 10/20/10, effective 10/1/10]</w:t>
      </w:r>
    </w:p>
    <w:p>
      <w:pPr>
        <w:spacing w:before="0" w:after="0"/>
        <w:ind w:left="120"/>
        <w:jc w:val="center"/>
      </w:pPr>
      <w:r>
        <w:rPr>
          <w:rFonts w:ascii="Times New Roman" w:hAnsi="Times New Roman"/>
          <w:b w:val="false"/>
          <w:i w:val="false"/>
          <w:color w:val="000000"/>
          <w:sz w:val="21"/>
        </w:rPr>
        <w:t>[Filed ARC 9282B</w:t>
      </w:r>
      <w:r>
        <w:rPr>
          <w:rFonts w:ascii="Times New Roman" w:hAnsi="Times New Roman"/>
          <w:b w:val="false"/>
          <w:i w:val="false"/>
          <w:color w:val="000000"/>
          <w:sz w:val="21"/>
        </w:rPr>
        <w:t xml:space="preserve"> (Notice ARC 9167B, IAB 10/20/10)</w:t>
      </w:r>
      <w:r>
        <w:rPr>
          <w:rFonts w:ascii="Times New Roman" w:hAnsi="Times New Roman"/>
          <w:b w:val="false"/>
          <w:i w:val="false"/>
          <w:color w:val="000000"/>
          <w:sz w:val="21"/>
        </w:rPr>
        <w:t>, IAB 12/15/10, effective 1/19/11]</w:t>
      </w:r>
    </w:p>
    <w:p>
      <w:pPr>
        <w:spacing w:before="0" w:after="0"/>
        <w:ind w:left="120"/>
        <w:jc w:val="center"/>
      </w:pPr>
      <w:r>
        <w:rPr>
          <w:rFonts w:ascii="Times New Roman" w:hAnsi="Times New Roman"/>
          <w:b w:val="false"/>
          <w:i w:val="false"/>
          <w:color w:val="000000"/>
          <w:sz w:val="21"/>
        </w:rPr>
        <w:t>[Filed Emergency ARC 9633B, IAB 7/27/11, effective 7/8/11]</w:t>
      </w:r>
    </w:p>
    <w:p>
      <w:pPr>
        <w:spacing w:before="0" w:after="0"/>
        <w:ind w:left="120"/>
        <w:jc w:val="center"/>
      </w:pPr>
      <w:r>
        <w:rPr>
          <w:rFonts w:ascii="Times New Roman" w:hAnsi="Times New Roman"/>
          <w:b w:val="false"/>
          <w:i w:val="false"/>
          <w:color w:val="000000"/>
          <w:sz w:val="21"/>
        </w:rPr>
        <w:t>[Filed ARC 9830B</w:t>
      </w:r>
      <w:r>
        <w:rPr>
          <w:rFonts w:ascii="Times New Roman" w:hAnsi="Times New Roman"/>
          <w:b w:val="false"/>
          <w:i w:val="false"/>
          <w:color w:val="000000"/>
          <w:sz w:val="21"/>
        </w:rPr>
        <w:t xml:space="preserve"> (Notice ARC 9635B, IAB 7/27/11)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[Filed ARC 0186C</w:t>
      </w:r>
      <w:r>
        <w:rPr>
          <w:rFonts w:ascii="Times New Roman" w:hAnsi="Times New Roman"/>
          <w:b w:val="false"/>
          <w:i w:val="false"/>
          <w:color w:val="000000"/>
          <w:sz w:val="21"/>
        </w:rPr>
        <w:t xml:space="preserve"> (Notice ARC 0095C, IAB 4/18/12)</w:t>
      </w:r>
      <w:r>
        <w:rPr>
          <w:rFonts w:ascii="Times New Roman" w:hAnsi="Times New Roman"/>
          <w:b w:val="false"/>
          <w:i w:val="false"/>
          <w:color w:val="000000"/>
          <w:sz w:val="21"/>
        </w:rPr>
        <w:t>, IAB 6/27/12, effective 8/1/12]</w:t>
      </w:r>
    </w:p>
    <w:p>
      <w:pPr>
        <w:spacing w:before="0" w:after="0"/>
        <w:ind w:left="120"/>
        <w:jc w:val="center"/>
      </w:pPr>
      <w:r>
        <w:rPr>
          <w:rFonts w:ascii="Times New Roman" w:hAnsi="Times New Roman"/>
          <w:b w:val="false"/>
          <w:i w:val="false"/>
          <w:color w:val="000000"/>
          <w:sz w:val="21"/>
        </w:rPr>
        <w:t>[Filed ARC 3427C</w:t>
      </w:r>
      <w:r>
        <w:rPr>
          <w:rFonts w:ascii="Times New Roman" w:hAnsi="Times New Roman"/>
          <w:b w:val="false"/>
          <w:i w:val="false"/>
          <w:color w:val="000000"/>
          <w:sz w:val="21"/>
        </w:rPr>
        <w:t xml:space="preserve"> (Notice ARC 3276C, IAB 8/30/17)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5343C</w:t>
      </w:r>
      <w:r>
        <w:rPr>
          <w:rFonts w:ascii="Times New Roman" w:hAnsi="Times New Roman"/>
          <w:b w:val="false"/>
          <w:i w:val="false"/>
          <w:color w:val="000000"/>
          <w:sz w:val="21"/>
        </w:rPr>
        <w:t xml:space="preserve"> (Notice ARC 5219C, IAB 10/7/20)</w:t>
      </w:r>
      <w:r>
        <w:rPr>
          <w:rFonts w:ascii="Times New Roman" w:hAnsi="Times New Roman"/>
          <w:b w:val="false"/>
          <w:i w:val="false"/>
          <w:color w:val="000000"/>
          <w:sz w:val="21"/>
        </w:rPr>
        <w:t>, IAB 12/30/20, effective 2/3/21]</w:t>
      </w:r>
    </w:p>
    <w:p>
      <w:pPr>
        <w:spacing w:before="0" w:after="0"/>
        <w:ind w:left="120"/>
        <w:jc w:val="center"/>
      </w:pPr>
      <w:r>
        <w:rPr>
          <w:rFonts w:ascii="Times New Roman" w:hAnsi="Times New Roman"/>
          <w:b w:val="false"/>
          <w:i w:val="false"/>
          <w:color w:val="000000"/>
          <w:sz w:val="21"/>
        </w:rPr>
        <w:t>[Filed ARC 9408C</w:t>
      </w:r>
      <w:r>
        <w:rPr>
          <w:rFonts w:ascii="Times New Roman" w:hAnsi="Times New Roman"/>
          <w:b w:val="false"/>
          <w:i w:val="false"/>
          <w:color w:val="000000"/>
          <w:sz w:val="21"/>
        </w:rPr>
        <w:t xml:space="preserve"> (Notice ARC 9191C, IAB 4/30/25)</w:t>
      </w:r>
      <w:r>
        <w:rPr>
          <w:rFonts w:ascii="Times New Roman" w:hAnsi="Times New Roman"/>
          <w:b w:val="false"/>
          <w:i w:val="false"/>
          <w:color w:val="000000"/>
          <w:sz w:val="21"/>
        </w:rPr>
        <w:t>, IAB 7/9/25, effective 8/13/25]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41.pdf" Type="http://schemas.openxmlformats.org/officeDocument/2006/relationships/hyperlink" Id="rId5"/>
    <Relationship TargetMode="External" Target="https://www.legis.iowa.gov/docs/iac/rule/265.42.6.pdf" Type="http://schemas.openxmlformats.org/officeDocument/2006/relationships/hyperlink" Id="rId6"/>
    <Relationship TargetMode="External" Target="https://www.legis.iowa.gov/docs/iac/rule/265.42.7.pdf" Type="http://schemas.openxmlformats.org/officeDocument/2006/relationships/hyperlink" Id="rId7"/>
    <Relationship TargetMode="External" Target="https://www.legis.iowa.gov/docs/iac/rule/265.42.4.pdf" Type="http://schemas.openxmlformats.org/officeDocument/2006/relationships/hyperlink" Id="rId8"/>
    <Relationship TargetMode="External" Target="https://www.legis.iowa.gov/docs/iac/rule/265.42.11.pdf" Type="http://schemas.openxmlformats.org/officeDocument/2006/relationships/hyperlink" Id="rId9"/>
    <Relationship TargetMode="External" Target="https://www.legis.iowa.gov/docs/ico/chapter/16.5.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