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SHELTER ASSISTANCE FUND</w:t>
      </w:r>
    </w:p>
    <w:p>
      <w:pPr>
        <w:spacing w:before="0" w:after="0"/>
        <w:ind w:left="120"/>
        <w:jc w:val="center"/>
      </w:pPr>
      <w:r>
        <w:rPr>
          <w:rFonts w:ascii="Times New Roman" w:hAnsi="Times New Roman"/>
          <w:b w:val="false"/>
          <w:i w:val="false"/>
          <w:color w:val="000000"/>
          <w:sz w:val="14"/>
        </w:rPr>
        <w:t>[Prior to 10/20/10, see 261—Ch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265—41.1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shelter assistance fund (SAF) is created pursuant to and for the purposes stated under Iowa Code section </w:t>
      </w:r>
      <w:hyperlink r:id="rId5">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eligible provider of homeless services that is applying for SAF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violence shelter” </w:t>
      </w:r>
      <w:r>
        <w:rPr>
          <w:rFonts w:ascii="Times New Roman" w:hAnsi="Times New Roman"/>
          <w:b w:val="false"/>
          <w:i w:val="false"/>
          <w:color w:val="000000"/>
          <w:sz w:val="22"/>
        </w:rPr>
        <w:t>means a homeless shelter primarily or exclusively serving clients who are homeless due to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“DVIMS” </w:t>
      </w:r>
      <w:r>
        <w:rPr>
          <w:rFonts w:ascii="Times New Roman" w:hAnsi="Times New Roman"/>
          <w:b w:val="false"/>
          <w:i w:val="false"/>
          <w:color w:val="000000"/>
          <w:sz w:val="22"/>
        </w:rPr>
        <w:t>means the Domestic Violence Information Management System, which is Iowa’s designated database for domestic violence shelters.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“ESG” </w:t>
      </w:r>
      <w:r>
        <w:rPr>
          <w:rFonts w:ascii="Times New Roman" w:hAnsi="Times New Roman"/>
          <w:b w:val="false"/>
          <w:i w:val="false"/>
          <w:color w:val="000000"/>
          <w:sz w:val="22"/>
        </w:rPr>
        <w:t>means the Emergency Solutions Grant Program created pursuant to Title 42 of the U.S. Code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11375) as well as parts of Title 24 of the Code of Federal Regulations (</w:t>
      </w:r>
      <w:r>
        <w:rPr>
          <w:rFonts w:ascii="Times New Roman" w:hAnsi="Times New Roman"/>
          <w:b w:val="false"/>
          <w:i w:val="false"/>
          <w:color w:val="000000"/>
          <w:sz w:val="22"/>
        </w:rPr>
        <w:t>24 CFR Part 576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“HMIS” </w:t>
      </w:r>
      <w:r>
        <w:rPr>
          <w:rFonts w:ascii="Times New Roman" w:hAnsi="Times New Roman"/>
          <w:b w:val="false"/>
          <w:i w:val="false"/>
          <w:color w:val="000000"/>
          <w:sz w:val="22"/>
        </w:rPr>
        <w:t xml:space="preserve">means the Homeless Management Information System as defined in </w:t>
      </w:r>
      <w:r>
        <w:rPr>
          <w:rFonts w:ascii="Times New Roman" w:hAnsi="Times New Roman"/>
          <w:b w:val="false"/>
          <w:i w:val="false"/>
          <w:color w:val="000000"/>
          <w:sz w:val="22"/>
        </w:rPr>
        <w:t>24 CFR Part 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means the same as set forth in </w:t>
      </w:r>
      <w:r>
        <w:rPr>
          <w:rFonts w:ascii="Times New Roman" w:hAnsi="Times New Roman"/>
          <w:b w:val="false"/>
          <w:i w:val="false"/>
          <w:color w:val="000000"/>
          <w:sz w:val="22"/>
        </w:rPr>
        <w:t>24 CFR Part 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shelter”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“shelter” </w:t>
      </w:r>
      <w:r>
        <w:rPr>
          <w:rFonts w:ascii="Times New Roman" w:hAnsi="Times New Roman"/>
          <w:b w:val="false"/>
          <w:i w:val="false"/>
          <w:color w:val="000000"/>
          <w:sz w:val="22"/>
        </w:rPr>
        <w:t>means a facility properly zoned and lawfully operating in compliance with all state, county and municipal laws and regulations, including possessing all permits, licenses, certifications and other authorizations required for the facility’s location, which provides temporary shelter with overnight sleeping accommodations for homeless persons and which does not require occupants to sign leases or occupancy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 person or family who is homeless or at risk of becoming homeless and is provided assistance from a recipient utilizing SAF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nonprofit organization” </w:t>
      </w:r>
      <w:r>
        <w:rPr>
          <w:rFonts w:ascii="Times New Roman" w:hAnsi="Times New Roman"/>
          <w:b w:val="false"/>
          <w:i w:val="false"/>
          <w:color w:val="000000"/>
          <w:sz w:val="22"/>
        </w:rPr>
        <w:t xml:space="preserve">means an organization as set forth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11371, which has registered with the state of Iowa as a nonprofit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any organization to which the authority distributes SAF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for the SAF, an applicant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 city government, county government, instrumentality of government, or private nonprofit organization;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Operate a homeless shelter.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Eligible activities may include the following, where necessary to assist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Operating expenses for homeless and domestic violence shelters necessary for the operation of the shelter, including staff salaries, maintenance (including minor or routine repairs), rent, security, fuel, equipment, insurance, utilities, food, furnishings, and supplies. Where or when no appropriate shelter is available for a homeless family or individual, eligible costs may include a hotel or motel voucher for that family or individual. Costs of third-party agencies in providing food to one or more shelters or directly to participants may also be included as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Essential services for individuals and families in homeless and domestic violence shelters, including case management, coordinated entry or centralized intake, child care, education services, employment assistance and job training, outpatient health services, legal services, life skills training, mental health services, substance abuse treatment services, and transportation necessary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Evaluation and reporting of services for the homeless, including the implementation of the HMIS.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265—41.5</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authority shall issue requests for applications periodically, specifying requirements, priorities, period of funding, and maximum and minimum award amounts, subject to available funding. Requests for applications may be issued jointly with the ESG program. Only applications submitted as prescribed by the authority will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by the authority for funding approval or denial based on priorities established during each competition round. Review criteria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experience and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partnerships and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Past performance,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Budget and grant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If an application contains an activity determined to be ineligible, at the authority’s discretion, the ineligible activity may be deleted from the application or the application may be disqualified in its entirety.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Before making final funding recommendations, the authority may review applications with other state agencies or any other party deemed appropriate in the authority’s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Based on the review process and subject to available funding, the authority may revise the applicant’s overall funding request by activity or funding level and recommend a final funding figure to the authority’s board of directors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265—41.7</w:t>
      </w:r>
      <w:r>
        <w:rPr>
          <w:rFonts w:ascii="Times New Roman" w:hAnsi="Times New Roman"/>
          <w:b/>
          <w:i w:val="false"/>
          <w:color w:val="000000"/>
          <w:sz w:val="22"/>
        </w:rPr>
        <w:t xml:space="preserve">(16) </w:t>
      </w:r>
      <w:r>
        <w:rPr>
          <w:rFonts w:ascii="Times New Roman" w:hAnsi="Times New Roman"/>
          <w:b/>
          <w:i w:val="false"/>
          <w:color w:val="000000"/>
          <w:sz w:val="22"/>
        </w:rPr>
        <w:t xml:space="preserve">Matching contributions. </w:t>
      </w:r>
      <w:r>
        <w:rPr>
          <w:rFonts w:ascii="Times New Roman" w:hAnsi="Times New Roman"/>
          <w:b w:val="false"/>
          <w:i w:val="false"/>
          <w:color w:val="000000"/>
          <w:sz w:val="22"/>
        </w:rPr>
        <w:t>The authority reserves the right to designate a portion or all of SAF funds to be used toward the matching contributions requirement imposed by HUD for ESG funds received by the state of Iowa. SAF funds designated as ESG matching contributions cannot be used to meet matching requirements of other grant moneys received by recipients. Recipients will be informed if SAF funds have been used toward the ESG matching requirement and will be responsible for ensuring compliance with the matching requirements of other grant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265—41.8</w:t>
      </w:r>
      <w:r>
        <w:rPr>
          <w:rFonts w:ascii="Times New Roman" w:hAnsi="Times New Roman"/>
          <w:b/>
          <w:i w:val="false"/>
          <w:color w:val="000000"/>
          <w:sz w:val="22"/>
        </w:rPr>
        <w:t xml:space="preserve">(16) </w:t>
      </w:r>
      <w:r>
        <w:rPr>
          <w:rFonts w:ascii="Times New Roman" w:hAnsi="Times New Roman"/>
          <w:b/>
          <w:i w:val="false"/>
          <w:color w:val="000000"/>
          <w:sz w:val="22"/>
        </w:rPr>
        <w:t xml:space="preserve">Funding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authority’s board of directors approves funding awards during each application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color w:val="000000"/>
          <w:sz w:val="22"/>
        </w:rPr>
        <w:t xml:space="preserve">Right to negotiate. </w:t>
      </w:r>
      <w:r>
        <w:rPr>
          <w:rFonts w:ascii="Times New Roman" w:hAnsi="Times New Roman"/>
          <w:b w:val="false"/>
          <w:i w:val="false"/>
          <w:color w:val="000000"/>
          <w:sz w:val="22"/>
        </w:rPr>
        <w:t>The authority reserves the right to negotiate with the recipient the amount of the funding award, the scale or scope of the recipient’s project, and alternative methods for completing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color w:val="000000"/>
          <w:sz w:val="22"/>
        </w:rPr>
        <w:t xml:space="preserve">Special purpose awards. </w:t>
      </w:r>
      <w:r>
        <w:rPr>
          <w:rFonts w:ascii="Times New Roman" w:hAnsi="Times New Roman"/>
          <w:b w:val="false"/>
          <w:i w:val="false"/>
          <w:color w:val="000000"/>
          <w:sz w:val="22"/>
        </w:rPr>
        <w:t xml:space="preserve">The authority may, at its discretion, make funding awards for evaluation, reporting, or implementation of services for the homeless, including but not limited to the HMIS or coordinated entry, apart from the application procedures and application review process set forth in rules </w:t>
      </w:r>
      <w:hyperlink r:id="rId6">
        <w:r>
          <w:rPr>
            <w:rStyle w:val="Hyperlink"/>
            <w:rFonts w:ascii="Times New Roman" w:hAnsi="Times New Roman"/>
            <w:b w:val="false"/>
            <w:i w:val="false"/>
            <w:color w:val="000000"/>
            <w:sz w:val="22"/>
          </w:rPr>
          <w:t>265—41.5</w:t>
        </w:r>
      </w:hyperlink>
      <w:r>
        <w:rPr>
          <w:rFonts w:ascii="Times New Roman" w:hAnsi="Times New Roman"/>
          <w:b w:val="false"/>
          <w:i w:val="false"/>
          <w:color w:val="000000"/>
          <w:sz w:val="22"/>
        </w:rPr>
        <w:t xml:space="preserve">(16) and </w:t>
      </w:r>
      <w:hyperlink r:id="rId7">
        <w:r>
          <w:rPr>
            <w:rStyle w:val="Hyperlink"/>
            <w:rFonts w:ascii="Times New Roman" w:hAnsi="Times New Roman"/>
            <w:b w:val="false"/>
            <w:i w:val="false"/>
            <w:color w:val="000000"/>
            <w:sz w:val="22"/>
          </w:rPr>
          <w:t>265—41.6</w:t>
        </w:r>
      </w:hyperlink>
      <w:r>
        <w:rPr>
          <w:rFonts w:ascii="Times New Roman" w:hAnsi="Times New Roman"/>
          <w:b w:val="false"/>
          <w:i w:val="false"/>
          <w:color w:val="000000"/>
          <w:sz w:val="22"/>
        </w:rPr>
        <w:t>(16).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265—41.9</w:t>
      </w:r>
      <w:r>
        <w:rPr>
          <w:rFonts w:ascii="Times New Roman" w:hAnsi="Times New Roman"/>
          <w:b/>
          <w:i w:val="false"/>
          <w:color w:val="000000"/>
          <w:sz w:val="22"/>
        </w:rPr>
        <w:t xml:space="preserve">(16) </w:t>
      </w:r>
      <w:r>
        <w:rPr>
          <w:rFonts w:ascii="Times New Roman" w:hAnsi="Times New Roman"/>
          <w:b/>
          <w:i w:val="false"/>
          <w:color w:val="000000"/>
          <w:sz w:val="22"/>
        </w:rPr>
        <w:t xml:space="preserve">Requirements placed on recipients.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Participation by homeless individuals and families. </w:t>
      </w:r>
      <w:r>
        <w:rPr>
          <w:rFonts w:ascii="Times New Roman" w:hAnsi="Times New Roman"/>
          <w:b w:val="false"/>
          <w:i w:val="false"/>
          <w:color w:val="000000"/>
          <w:sz w:val="22"/>
        </w:rPr>
        <w:t>To the extent possible, recipients should involve, through employment, volunteer services, or otherwise, homeless individuals and families in constructing, renovating, maintaining, and operating facilities assisted with SAF funds and providing services assisted with SAF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and grievance procedure. </w:t>
      </w:r>
      <w:r>
        <w:rPr>
          <w:rFonts w:ascii="Times New Roman" w:hAnsi="Times New Roman"/>
          <w:b w:val="false"/>
          <w:i w:val="false"/>
          <w:color w:val="000000"/>
          <w:sz w:val="22"/>
        </w:rPr>
        <w:t>Recipients shall establish and implement a formal process to terminate assistance to participants who violate SAF program requirements. This process shall include a hearing that provides participants a full opportunity to address issues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Data reporting system. </w:t>
      </w:r>
      <w:r>
        <w:rPr>
          <w:rFonts w:ascii="Times New Roman" w:hAnsi="Times New Roman"/>
          <w:b w:val="false"/>
          <w:i w:val="false"/>
          <w:color w:val="000000"/>
          <w:sz w:val="22"/>
        </w:rPr>
        <w:t>Recipients shall participate in the HUD-approved HMIS adopted by the authority unless the recipient qualifies as a domestic violence shelter, in which case the recipient shall use the DVIMS.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color w:val="000000"/>
          <w:sz w:val="22"/>
        </w:rPr>
        <w:t xml:space="preserve">Ensuring confidentiality. </w:t>
      </w:r>
      <w:r>
        <w:rPr>
          <w:rFonts w:ascii="Times New Roman" w:hAnsi="Times New Roman"/>
          <w:b w:val="false"/>
          <w:i w:val="false"/>
          <w:color w:val="000000"/>
          <w:sz w:val="22"/>
        </w:rPr>
        <w:t>Recipients shall develop and implement procedures to guarantee the confidentiality of records pertaining to any participant, including any individual to whom family violence prevention or treatment services are provided. In addition, the address or location of any domestic violence shelter shall not be disclosed to any person except with written authorization of the shelter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religious organizations. </w:t>
      </w:r>
      <w:r>
        <w:rPr>
          <w:rFonts w:ascii="Times New Roman" w:hAnsi="Times New Roman"/>
          <w:b w:val="false"/>
          <w:i w:val="false"/>
          <w:color w:val="000000"/>
          <w:sz w:val="22"/>
        </w:rPr>
        <w:t>Recipients shall not engage in religious proselytizing or counseling using SAF funds, require attendance at religious services as a requirement or condition to receive assistance with SAF funds, nor limit services or give preference to persons seeking assistance with SAF funds on the basis of religion.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41.9(6)</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involuntary family separation. </w:t>
      </w:r>
      <w:r>
        <w:rPr>
          <w:rFonts w:ascii="Times New Roman" w:hAnsi="Times New Roman"/>
          <w:b w:val="false"/>
          <w:i w:val="false"/>
          <w:color w:val="000000"/>
          <w:sz w:val="22"/>
        </w:rPr>
        <w:t>If a shelter provides services to families with children under the age of 18, the age of a child under the age of 18 shall not be used as a basis for denying any family’s admission to shelter.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41.9(7)</w:t>
      </w: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Recipients shall follow the federal rules for lead-based paint, including the Lead-Based Paint Poisoning Prevention Act (</w:t>
      </w:r>
      <w:r>
        <w:rPr>
          <w:rFonts w:ascii="Times New Roman" w:hAnsi="Times New Roman"/>
          <w:b w:val="false"/>
          <w:i w:val="false"/>
          <w:color w:val="000000"/>
          <w:sz w:val="22"/>
        </w:rPr>
        <w:t>42 U.S.C. 4821</w:t>
      </w:r>
      <w:r>
        <w:rPr>
          <w:rFonts w:ascii="Times New Roman" w:hAnsi="Times New Roman"/>
          <w:b w:val="false"/>
          <w:i w:val="false"/>
          <w:color w:val="000000"/>
          <w:sz w:val="22"/>
        </w:rPr>
        <w:t>-4846), the Residential Lead-Based Paint Hazard Reduction Act of 1992 (</w:t>
      </w:r>
      <w:r>
        <w:rPr>
          <w:rFonts w:ascii="Times New Roman" w:hAnsi="Times New Roman"/>
          <w:b w:val="false"/>
          <w:i w:val="false"/>
          <w:color w:val="000000"/>
          <w:sz w:val="22"/>
        </w:rPr>
        <w:t>42 U.S.C. 4851</w:t>
      </w:r>
      <w:r>
        <w:rPr>
          <w:rFonts w:ascii="Times New Roman" w:hAnsi="Times New Roman"/>
          <w:b w:val="false"/>
          <w:i w:val="false"/>
          <w:color w:val="000000"/>
          <w:sz w:val="22"/>
        </w:rPr>
        <w:t xml:space="preserve">-4856), and implementing regulations in </w:t>
      </w:r>
      <w:r>
        <w:rPr>
          <w:rFonts w:ascii="Times New Roman" w:hAnsi="Times New Roman"/>
          <w:b w:val="false"/>
          <w:i w:val="false"/>
          <w:color w:val="000000"/>
          <w:sz w:val="22"/>
        </w:rPr>
        <w:t>24 CFR Part 35</w:t>
      </w:r>
      <w:r>
        <w:rPr>
          <w:rFonts w:ascii="Times New Roman" w:hAnsi="Times New Roman"/>
          <w:b w:val="false"/>
          <w:i w:val="false"/>
          <w:color w:val="000000"/>
          <w:sz w:val="22"/>
        </w:rPr>
        <w:t>, Subparts A, B, H, J, K, M, and R, which apply to all shelters occupied by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41.9(8)</w:t>
      </w:r>
      <w:r>
        <w:rPr>
          <w:rFonts w:ascii="Times New Roman" w:hAnsi="Times New Roman"/>
          <w:b w:val="false"/>
          <w:i w:val="false"/>
          <w:color w:val="000000"/>
          <w:sz w:val="22"/>
        </w:rPr>
        <w:t> </w:t>
      </w:r>
      <w:r>
        <w:rPr>
          <w:rFonts w:ascii="Times New Roman" w:hAnsi="Times New Roman"/>
          <w:b w:val="false"/>
          <w:i/>
          <w:color w:val="000000"/>
          <w:sz w:val="22"/>
        </w:rPr>
        <w:t xml:space="preserve">Habitability standards. </w:t>
      </w:r>
      <w:r>
        <w:rPr>
          <w:rFonts w:ascii="Times New Roman" w:hAnsi="Times New Roman"/>
          <w:b w:val="false"/>
          <w:i w:val="false"/>
          <w:color w:val="000000"/>
          <w:sz w:val="22"/>
        </w:rPr>
        <w:t>Recipients shall follow the federal rules for habitability, ensuring that shelters receiving SAF funds adhere to minimum habitability standards for being safe, sanitary, and adequately maintained, according to the regulations at CFR Part 576.403, and comply with all applicable local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41.9(9)</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The authority may impose additional requirements on recipients, which will be described in the request for applications, the grant contract, or other guidance materials issued from time to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265—41.10</w:t>
      </w:r>
      <w:r>
        <w:rPr>
          <w:rFonts w:ascii="Times New Roman" w:hAnsi="Times New Roman"/>
          <w:b/>
          <w:i w:val="false"/>
          <w:color w:val="000000"/>
          <w:sz w:val="22"/>
        </w:rPr>
        <w:t xml:space="preserve">(16) </w:t>
      </w:r>
      <w:r>
        <w:rPr>
          <w:rFonts w:ascii="Times New Roman" w:hAnsi="Times New Roman"/>
          <w:b/>
          <w:i w:val="false"/>
          <w:color w:val="000000"/>
          <w:sz w:val="22"/>
        </w:rPr>
        <w:t xml:space="preserve">Compliance with applicable federal and state laws and regulations. </w:t>
      </w:r>
      <w:r>
        <w:rPr>
          <w:rFonts w:ascii="Times New Roman" w:hAnsi="Times New Roman"/>
          <w:b w:val="false"/>
          <w:i w:val="false"/>
          <w:color w:val="000000"/>
          <w:sz w:val="22"/>
        </w:rPr>
        <w:t xml:space="preserve">Recipients shall comply with all applicable federal, state, and local laws with respect to activities performed under this SAF program, including the Iowa Civil Rights Act as set forth in Iowa Code chapter </w:t>
      </w:r>
      <w:hyperlink r:id="rId8">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Recipients shall also comply with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color w:val="000000"/>
          <w:sz w:val="22"/>
        </w:rPr>
        <w:t xml:space="preserve">Review of financial statements. </w:t>
      </w:r>
      <w:r>
        <w:rPr>
          <w:rFonts w:ascii="Times New Roman" w:hAnsi="Times New Roman"/>
          <w:b w:val="false"/>
          <w:i w:val="false"/>
          <w:color w:val="000000"/>
          <w:sz w:val="22"/>
        </w:rPr>
        <w:t>Recipients shall obtain from an independent certified public accountant an annual audit report or an annual independent review of  recipients’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person, including any employee, agent, consultant, officer, or elected or appointed official of a recipient, exercising any functions or responsibilities with respect to activities assisted under the SAF program or in a position to participate in a decision-making process or gain inside information with regard to activities assisted under the SAF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 financial interest or benefit from an assisted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financial interest in any contract, subcontract, or agreement with respect to an assisted activity;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financial interest in the proceeds derived from an assisted activity, either for the person or for those with whom the person has immediate family or business ties.</w:t>
      </w:r>
    </w:p>
    <w:p>
      <w:pPr>
        <w:spacing w:before="0" w:after="0"/>
        <w:ind w:left="120"/>
        <w:jc w:val="both"/>
      </w:pPr>
      <w:r>
        <w:rPr>
          <w:rFonts w:ascii="Times New Roman" w:hAnsi="Times New Roman"/>
          <w:b w:val="false"/>
          <w:i w:val="false"/>
          <w:color w:val="000000"/>
          <w:sz w:val="22"/>
        </w:rPr>
        <w:t>This subrule shall apply during a person’s tenure and for a one-year period thereafter.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265—41.11</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Upon selection of an application for funding, the authority will initiate a contract. These rules and applicable federal and state laws and regulations will become part of the contract. Certain activities may necessitate that permits or clearances be obtained from other state agencies before the start of the project. Funding awards may be conditioned upon the timely completion of these requirements or any other conditions stipulated in the contract at the authority’s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Financial records, supporting documents, statistical records, and all other records pertinent to the funded project shall be retained by the recipient and made available to the authority upon request. Proper record retention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Retention of records for any assisted activity for five years after the end of the grant period and, if applicable, until audit and compliance monitoring procedures are completed and accepted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all books, accounts, documents, records, and other property belonging to or in use by a recipient pertaining to the receipt of assistance under these rules by the office of auditor of state, the authority or the authority’s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Recipients shall submit reports to the authority as prescribed in the contract. Reports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HMIS data reports. All recipients are required to submit regular reports on participants served using the current HMIS reporting process as prescribed by the authority unless a recipient qualifies as a domestic violence shelter, in which case the recipient shall submit reports using the DVIMS.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funds. Recipients shall submit requests for funds during the contract period at intervals and using forms as prescribed by the authority. The authority may perform any review or field inspections it deems necessary to ensure SAF program compliance, including review of recipient records and reports. When problems of compliance are noted, the authority may require remedial actions to be taken. Failure to respond to notifications of need for remedial action may result in the remedies for noncompliance set forth in subrule </w:t>
      </w:r>
      <w:hyperlink r:id="rId9">
        <w:r>
          <w:rPr>
            <w:rStyle w:val="Hyperlink"/>
            <w:rFonts w:ascii="Times New Roman" w:hAnsi="Times New Roman"/>
            <w:b w:val="false"/>
            <w:i w:val="false"/>
            <w:color w:val="000000"/>
            <w:sz w:val="22"/>
          </w:rPr>
          <w:t>41.11(4)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Should the authority find that a recipient is not in compliance with the requirements under this SAF program, the authority may employ any remedies it deems appropriate,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SAF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award on correcting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recipient to stop incurring costs with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awarded funds be remitted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the recipient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award funds to the recipient until appropriate actions are taken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Prohibit a future award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265—41.12</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Code of Federal Regulations and United States Code in this chapter are to the laws as in effect August 13,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9162B, IAB 10/20/10, effective 10/1/10]</w:t>
      </w:r>
    </w:p>
    <w:p>
      <w:pPr>
        <w:spacing w:before="0" w:after="0"/>
        <w:ind w:left="120"/>
        <w:jc w:val="center"/>
      </w:pPr>
      <w:r>
        <w:rPr>
          <w:rFonts w:ascii="Times New Roman" w:hAnsi="Times New Roman"/>
          <w:b w:val="false"/>
          <w:i w:val="false"/>
          <w:color w:val="000000"/>
          <w:sz w:val="21"/>
        </w:rPr>
        <w:t>[Filed ARC 9281B</w:t>
      </w:r>
      <w:r>
        <w:rPr>
          <w:rFonts w:ascii="Times New Roman" w:hAnsi="Times New Roman"/>
          <w:b w:val="false"/>
          <w:i w:val="false"/>
          <w:color w:val="000000"/>
          <w:sz w:val="21"/>
        </w:rPr>
        <w:t xml:space="preserve"> (Notice ARC 9163B,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9642B, IAB 7/27/11, effective 7/8/11]</w:t>
      </w:r>
    </w:p>
    <w:p>
      <w:pPr>
        <w:spacing w:before="0" w:after="0"/>
        <w:ind w:left="120"/>
        <w:jc w:val="center"/>
      </w:pPr>
      <w:r>
        <w:rPr>
          <w:rFonts w:ascii="Times New Roman" w:hAnsi="Times New Roman"/>
          <w:b w:val="false"/>
          <w:i w:val="false"/>
          <w:color w:val="000000"/>
          <w:sz w:val="21"/>
        </w:rPr>
        <w:t>[Filed ARC 9828B</w:t>
      </w:r>
      <w:r>
        <w:rPr>
          <w:rFonts w:ascii="Times New Roman" w:hAnsi="Times New Roman"/>
          <w:b w:val="false"/>
          <w:i w:val="false"/>
          <w:color w:val="000000"/>
          <w:sz w:val="21"/>
        </w:rPr>
        <w:t xml:space="preserve"> (Notice ARC 9643B, IAB 7/27/11)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0183C</w:t>
      </w:r>
      <w:r>
        <w:rPr>
          <w:rFonts w:ascii="Times New Roman" w:hAnsi="Times New Roman"/>
          <w:b w:val="false"/>
          <w:i w:val="false"/>
          <w:color w:val="000000"/>
          <w:sz w:val="21"/>
        </w:rPr>
        <w:t xml:space="preserve"> (Notice ARC 0096C,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1539C</w:t>
      </w:r>
      <w:r>
        <w:rPr>
          <w:rFonts w:ascii="Times New Roman" w:hAnsi="Times New Roman"/>
          <w:b w:val="false"/>
          <w:i w:val="false"/>
          <w:color w:val="000000"/>
          <w:sz w:val="21"/>
        </w:rPr>
        <w:t xml:space="preserve"> (Notice ARC 1459C,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3426C</w:t>
      </w:r>
      <w:r>
        <w:rPr>
          <w:rFonts w:ascii="Times New Roman" w:hAnsi="Times New Roman"/>
          <w:b w:val="false"/>
          <w:i w:val="false"/>
          <w:color w:val="000000"/>
          <w:sz w:val="21"/>
        </w:rPr>
        <w:t xml:space="preserve"> (Notice ARC 3275C,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9407C</w:t>
      </w:r>
      <w:r>
        <w:rPr>
          <w:rFonts w:ascii="Times New Roman" w:hAnsi="Times New Roman"/>
          <w:b w:val="false"/>
          <w:i w:val="false"/>
          <w:color w:val="000000"/>
          <w:sz w:val="21"/>
        </w:rPr>
        <w:t xml:space="preserve"> (Notice ARC 9190C, IAB 4/30/25)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1.pdf" Type="http://schemas.openxmlformats.org/officeDocument/2006/relationships/hyperlink" Id="rId5"/>
    <Relationship TargetMode="External" Target="https://www.legis.iowa.gov/docs/iac/rule/265.41.5.pdf" Type="http://schemas.openxmlformats.org/officeDocument/2006/relationships/hyperlink" Id="rId6"/>
    <Relationship TargetMode="External" Target="https://www.legis.iowa.gov/docs/iac/rule/265.41.6.pdf" Type="http://schemas.openxmlformats.org/officeDocument/2006/relationships/hyperlink" Id="rId7"/>
    <Relationship TargetMode="External" Target="https://www.legis.iowa.gov/docs/ico/chapter/216.pdf" Type="http://schemas.openxmlformats.org/officeDocument/2006/relationships/hyperlink" Id="rId8"/>
    <Relationship TargetMode="External" Target="https://www.legis.iowa.gov/docs/iac/rule/265.41.11.pdf" Type="http://schemas.openxmlformats.org/officeDocument/2006/relationships/hyperlink" Id="rId9"/>
    <Relationship TargetMode="External" Target="https://www.legis.iowa.gov/docs/ico/chapter/16.4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