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w:t>
      </w:r>
    </w:p>
    <w:p>
      <w:pPr>
        <w:spacing w:before="0" w:after="0"/>
        <w:ind w:left="120"/>
        <w:jc w:val="center"/>
      </w:pPr>
      <w:r>
        <w:rPr>
          <w:rFonts w:ascii="Times New Roman" w:hAnsi="Times New Roman"/>
          <w:b w:val="false"/>
          <w:i w:val="false"/>
          <w:color w:val="000000"/>
          <w:sz w:val="21"/>
        </w:rPr>
        <w:t>MULTIFAMILY HOUSING</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3/26/30</w:t>
      </w:r>
    </w:p>
    <w:p>
      <w:pPr>
        <w:spacing w:before="0" w:after="0"/>
        <w:ind w:left="120"/>
        <w:jc w:val="both"/>
      </w:pPr>
      <w:r>
        <w:rPr>
          <w:rFonts w:ascii="Times New Roman" w:hAnsi="Times New Roman"/>
          <w:b/>
          <w:i w:val="false"/>
          <w:color w:val="000000"/>
          <w:sz w:val="22"/>
        </w:rPr>
        <w:t>265—3.1</w:t>
      </w:r>
      <w:r>
        <w:rPr>
          <w:rFonts w:ascii="Times New Roman" w:hAnsi="Times New Roman"/>
          <w:b/>
          <w:i w:val="false"/>
          <w:color w:val="000000"/>
          <w:sz w:val="22"/>
        </w:rPr>
        <w:t xml:space="preserve">(16) </w:t>
      </w:r>
      <w:r>
        <w:rPr>
          <w:rFonts w:ascii="Times New Roman" w:hAnsi="Times New Roman"/>
          <w:b/>
          <w:i w:val="false"/>
          <w:color w:val="000000"/>
          <w:sz w:val="22"/>
        </w:rPr>
        <w:t xml:space="preserve">Purpose. </w:t>
      </w:r>
      <w:r>
        <w:rPr>
          <w:rFonts w:ascii="Times New Roman" w:hAnsi="Times New Roman"/>
          <w:b w:val="false"/>
          <w:i w:val="false"/>
          <w:color w:val="000000"/>
          <w:sz w:val="22"/>
        </w:rPr>
        <w:t>Through the multifamily loan program (program) established pursuant to this chapter, the authority seeks to preserve the existing supply of affordable rental units at risk of being lost and to foster the production of new affordable rental units in the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8901C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265—3.2</w:t>
      </w:r>
      <w:r>
        <w:rPr>
          <w:rFonts w:ascii="Times New Roman" w:hAnsi="Times New Roman"/>
          <w:b/>
          <w:i w:val="false"/>
          <w:color w:val="000000"/>
          <w:sz w:val="22"/>
        </w:rPr>
        <w:t xml:space="preserve">(16) </w:t>
      </w:r>
      <w:r>
        <w:rPr>
          <w:rFonts w:ascii="Times New Roman" w:hAnsi="Times New Roman"/>
          <w:b/>
          <w:i w:val="false"/>
          <w:color w:val="000000"/>
          <w:sz w:val="22"/>
        </w:rPr>
        <w:t xml:space="preserve">Application procedure. </w:t>
      </w:r>
      <w:r>
        <w:rPr>
          <w:rFonts w:ascii="Times New Roman" w:hAnsi="Times New Roman"/>
          <w:b w:val="false"/>
          <w:i w:val="false"/>
          <w:color w:val="000000"/>
          <w:sz w:val="22"/>
        </w:rPr>
        <w:t>Applications will be reviewed by the authority upon receipt.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8901C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265—3.3</w:t>
      </w:r>
      <w:r>
        <w:rPr>
          <w:rFonts w:ascii="Times New Roman" w:hAnsi="Times New Roman"/>
          <w:b/>
          <w:i w:val="false"/>
          <w:color w:val="000000"/>
          <w:sz w:val="22"/>
        </w:rPr>
        <w:t xml:space="preserve">(16) </w:t>
      </w:r>
      <w:r>
        <w:rPr>
          <w:rFonts w:ascii="Times New Roman" w:hAnsi="Times New Roman"/>
          <w:b/>
          <w:i w:val="false"/>
          <w:color w:val="000000"/>
          <w:sz w:val="22"/>
        </w:rPr>
        <w:t xml:space="preserve">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w:t>
      </w:r>
      <w:r>
        <w:rPr>
          <w:rFonts w:ascii="Times New Roman" w:hAnsi="Times New Roman"/>
          <w:b w:val="false"/>
          <w:i w:val="false"/>
          <w:color w:val="000000"/>
          <w:sz w:val="22"/>
        </w:rPr>
        <w:t> </w:t>
      </w:r>
      <w:r>
        <w:rPr>
          <w:rFonts w:ascii="Times New Roman" w:hAnsi="Times New Roman"/>
          <w:b w:val="false"/>
          <w:i w:val="false"/>
          <w:color w:val="000000"/>
          <w:sz w:val="22"/>
        </w:rPr>
        <w:t xml:space="preserve">Eligible applicants. As determined by the authority, to be eligible for a loan under the program, applicants shall: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Demonstrate a market need for the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Agree to observe certain compliance measures, including a recorded agreement to ensure long-term affordability.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Obtain a local contributing effort in an amount of up to 1 percent of the proposed loan when requested by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Agree to a change of management, general partner, or managing member when requested by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Agree to Multifamily Accelerated Processing (MAP) of the U.S. Department of Housing and Urban Development (HUD), when requested by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Agree to participate in the HUD Risk-Sharing Program, when requested by the authority.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Execute such documents and instruments as may be required by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Provide such information, certificates and other items requested by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Obtain a title guaranty certificate from the authority’s title guaranty division protecting the authority’s interest in the real property securing the loan, including any endorsements required by the authority, unless specifically waived by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w:t>
      </w:r>
      <w:r>
        <w:rPr>
          <w:rFonts w:ascii="Times New Roman" w:hAnsi="Times New Roman"/>
          <w:b w:val="false"/>
          <w:i w:val="false"/>
          <w:color w:val="000000"/>
          <w:sz w:val="22"/>
        </w:rPr>
        <w:t> </w:t>
      </w:r>
      <w:r>
        <w:rPr>
          <w:rFonts w:ascii="Times New Roman" w:hAnsi="Times New Roman"/>
          <w:b w:val="false"/>
          <w:i w:val="false"/>
          <w:color w:val="000000"/>
          <w:sz w:val="22"/>
        </w:rPr>
        <w:t>Eligible projects. As determined by the authority, to be eligible for a loan under the program, projects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financially feasible for at least the term of the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Have adequately funded replacement and operating reserve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Consist of at least five housing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the term of the loan, reserve at least 75 percent of the housing units for tenants whose income is at or below 80 percent of the area median income and whose rent is no more than 30 percent of the income of a family whose annual income is 80 percent or less of the area median income.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3.3(3)</w:t>
      </w:r>
      <w:r>
        <w:rPr>
          <w:rFonts w:ascii="Times New Roman" w:hAnsi="Times New Roman"/>
          <w:b w:val="false"/>
          <w:i w:val="false"/>
          <w:color w:val="000000"/>
          <w:sz w:val="22"/>
        </w:rPr>
        <w:t> </w:t>
      </w:r>
      <w:r>
        <w:rPr>
          <w:rFonts w:ascii="Times New Roman" w:hAnsi="Times New Roman"/>
          <w:b w:val="false"/>
          <w:i w:val="false"/>
          <w:color w:val="000000"/>
          <w:sz w:val="22"/>
        </w:rPr>
        <w:t xml:space="preserve">Loan terms.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Loans under this program may have a maximum loan term of 24 months for construction financing and 40 years for permanent financing.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Other terms and conditions of loans under this program may vary from project to project.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3.3(4)</w:t>
      </w:r>
      <w:r>
        <w:rPr>
          <w:rFonts w:ascii="Times New Roman" w:hAnsi="Times New Roman"/>
          <w:b w:val="false"/>
          <w:i w:val="false"/>
          <w:color w:val="000000"/>
          <w:sz w:val="22"/>
        </w:rPr>
        <w:t> </w:t>
      </w:r>
      <w:r>
        <w:rPr>
          <w:rFonts w:ascii="Times New Roman" w:hAnsi="Times New Roman"/>
          <w:b w:val="false"/>
          <w:i w:val="false"/>
          <w:color w:val="000000"/>
          <w:sz w:val="22"/>
        </w:rPr>
        <w:t>Maximum loan fees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Commitment fee (construction period) - 1.0 percent of total development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Commitment fee (permanent loan) - 2.0 percent of loan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Inspection fee (construction period) - $500 per inspection; inspections will typically occur with each draw or on a monthly basis during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Application fee - 0.3 percent of proposed loan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Asset management fee - calculated as $25 per unit × number of total project units; submitted annually on or before January 31.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authority may, in limited cases, reduce such fees if necessary in connection with assistance provided under this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8901C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265—3.4</w:t>
      </w:r>
      <w:r>
        <w:rPr>
          <w:rFonts w:ascii="Times New Roman" w:hAnsi="Times New Roman"/>
          <w:b/>
          <w:i w:val="false"/>
          <w:color w:val="000000"/>
          <w:sz w:val="22"/>
        </w:rPr>
        <w:t xml:space="preserve">(16) </w:t>
      </w:r>
      <w:r>
        <w:rPr>
          <w:rFonts w:ascii="Times New Roman" w:hAnsi="Times New Roman"/>
          <w:b/>
          <w:i w:val="false"/>
          <w:color w:val="000000"/>
          <w:sz w:val="22"/>
        </w:rPr>
        <w:t xml:space="preserve">Multifamily loan program for workforce housing loan assistance.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3.4(1)</w:t>
      </w:r>
      <w:r>
        <w:rPr>
          <w:rFonts w:ascii="Times New Roman" w:hAnsi="Times New Roman"/>
          <w:b w:val="false"/>
          <w:i w:val="false"/>
          <w:color w:val="000000"/>
          <w:sz w:val="22"/>
        </w:rPr>
        <w:t> </w:t>
      </w:r>
      <w:r>
        <w:rPr>
          <w:rFonts w:ascii="Times New Roman" w:hAnsi="Times New Roman"/>
          <w:b w:val="false"/>
          <w:i/>
          <w:color w:val="000000"/>
          <w:sz w:val="22"/>
        </w:rPr>
        <w:t xml:space="preserve">Eligible applicants. </w:t>
      </w:r>
      <w:r>
        <w:rPr>
          <w:rFonts w:ascii="Times New Roman" w:hAnsi="Times New Roman"/>
          <w:b w:val="false"/>
          <w:i w:val="false"/>
          <w:color w:val="000000"/>
          <w:sz w:val="22"/>
        </w:rPr>
        <w:t>To be eligible for a loan under this rule (the “primary loan”), applicants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an Iowa city or county (the “borrower”).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Agree to use the primary loan proceeds to make a loan to a third party to build housing in the applicant’s jurisdiction that meets the requirements of this rule and subrules </w:t>
      </w:r>
      <w:hyperlink r:id="rId5">
        <w:r>
          <w:rPr>
            <w:rStyle w:val="Hyperlink"/>
            <w:rFonts w:ascii="Times New Roman" w:hAnsi="Times New Roman"/>
            <w:b w:val="false"/>
            <w:i w:val="false"/>
            <w:color w:val="000000"/>
            <w:sz w:val="22"/>
          </w:rPr>
          <w:t>3.3(1)</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3.3(3)</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3.3(4)</w:t>
        </w:r>
      </w:hyperlink>
      <w:r>
        <w:rPr>
          <w:rFonts w:ascii="Times New Roman" w:hAnsi="Times New Roman"/>
          <w:b w:val="false"/>
          <w:i w:val="false"/>
          <w:color w:val="000000"/>
          <w:sz w:val="22"/>
        </w:rPr>
        <w:t xml:space="preserve"> (the “secondary loan”).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3.4(2)</w:t>
      </w:r>
      <w:r>
        <w:rPr>
          <w:rFonts w:ascii="Times New Roman" w:hAnsi="Times New Roman"/>
          <w:b w:val="false"/>
          <w:i w:val="false"/>
          <w:color w:val="000000"/>
          <w:sz w:val="22"/>
        </w:rPr>
        <w:t> </w:t>
      </w:r>
      <w:r>
        <w:rPr>
          <w:rFonts w:ascii="Times New Roman" w:hAnsi="Times New Roman"/>
          <w:b w:val="false"/>
          <w:i/>
          <w:color w:val="000000"/>
          <w:sz w:val="22"/>
        </w:rPr>
        <w:t xml:space="preserve">Eligible projects. </w:t>
      </w:r>
      <w:r>
        <w:rPr>
          <w:rFonts w:ascii="Times New Roman" w:hAnsi="Times New Roman"/>
          <w:b w:val="false"/>
          <w:i w:val="false"/>
          <w:color w:val="000000"/>
          <w:sz w:val="22"/>
        </w:rPr>
        <w:t>As determined by the authority, to be eligible for a loan under this rule, projects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financially feasible for at least the term of the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Have adequately funded replacement and operating reserve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Consist of at least five housing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the term of the loan, reserve at least 50 percent of the housing units rehabilitated or created with the proceeds of the secondary loan for families whose annual income at the time of leasing is at or below 120 percent of the area median income and whose rent is no more than 30 percent of the income of a family whose annual income is 120 percent or less of the area median income unless the authority agrees otherwise.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Preference shall be given to cities and counties that can document an increased need for housing as the result of new job creation within the city’s or the county’s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3.4(3)</w:t>
      </w:r>
      <w:r>
        <w:rPr>
          <w:rFonts w:ascii="Times New Roman" w:hAnsi="Times New Roman"/>
          <w:b w:val="false"/>
          <w:i w:val="false"/>
          <w:color w:val="000000"/>
          <w:sz w:val="22"/>
        </w:rPr>
        <w:t> </w:t>
      </w:r>
      <w:r>
        <w:rPr>
          <w:rFonts w:ascii="Times New Roman" w:hAnsi="Times New Roman"/>
          <w:b w:val="false"/>
          <w:i/>
          <w:color w:val="000000"/>
          <w:sz w:val="22"/>
        </w:rPr>
        <w:t xml:space="preserve">Loan terms.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primary loan is a general obligation of the borrower, but may be unsecured.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borrower shall use funds received in repayment of the secondary loan first to make the scheduled principal and interest payments on the primary loan. Any secondary loan payments remaining after all then-due scheduled payments on the primary loan have been repaid may be reloaned by the borrower on the same basis as if such secondary loan payment amounts were proceeds of the primary loan.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8901C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265—3.5</w:t>
      </w:r>
      <w:r>
        <w:rPr>
          <w:rFonts w:ascii="Times New Roman" w:hAnsi="Times New Roman"/>
          <w:b/>
          <w:i w:val="false"/>
          <w:color w:val="000000"/>
          <w:sz w:val="22"/>
        </w:rPr>
        <w:t xml:space="preserve">(16) </w:t>
      </w:r>
      <w:r>
        <w:rPr>
          <w:rFonts w:ascii="Times New Roman" w:hAnsi="Times New Roman"/>
          <w:b/>
          <w:i w:val="false"/>
          <w:color w:val="000000"/>
          <w:sz w:val="22"/>
        </w:rPr>
        <w:t xml:space="preserve">Authority analysis of applications. </w:t>
      </w:r>
      <w:r>
        <w:rPr>
          <w:rFonts w:ascii="Times New Roman" w:hAnsi="Times New Roman"/>
          <w:b w:val="false"/>
          <w:i w:val="false"/>
          <w:color w:val="000000"/>
          <w:sz w:val="22"/>
        </w:rPr>
        <w:t>Authority staff will analyze and underwrite each potential project and will make recommendations for funding assistance to the board of directors of the authority. Meeting the eligibility criteria in these rules is not a guaranty of receiving funds. Authority staff will determine the necessary and appropriate procedures and processes for underwriting and analysis to further the purposes of this program. In addition, the authority anticipates that because of the complex nature of each transaction, and the particular sets of circumstances attributable to each particular application/transaction, the terms and conditions of loans will vary from project to project. The authority will make available its general operating procedures and guidelines for this program, as such may be revised from time to time.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8901C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8">
        <w:r>
          <w:rPr>
            <w:rStyle w:val="Hyperlink"/>
            <w:rFonts w:ascii="Times New Roman" w:hAnsi="Times New Roman"/>
            <w:b w:val="false"/>
            <w:i w:val="false"/>
            <w:color w:val="000000"/>
            <w:sz w:val="22"/>
          </w:rPr>
          <w:t>16.5C(1)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10/11/02, Notice 8/7/02—published 10/30/02, effective 12/4/02]</w:t>
      </w:r>
    </w:p>
    <w:p>
      <w:pPr>
        <w:spacing w:before="0" w:after="0"/>
        <w:ind w:left="120"/>
        <w:jc w:val="center"/>
      </w:pPr>
      <w:r>
        <w:rPr>
          <w:rFonts w:ascii="Times New Roman" w:hAnsi="Times New Roman"/>
          <w:b w:val="false"/>
          <w:i w:val="false"/>
          <w:color w:val="000000"/>
          <w:sz w:val="21"/>
        </w:rPr>
        <w:t>[Filed 5/9/03, Notice 4/2/03—published 5/28/03, effective 7/2/03]</w:t>
      </w:r>
    </w:p>
    <w:p>
      <w:pPr>
        <w:spacing w:before="0" w:after="0"/>
        <w:ind w:left="120"/>
        <w:jc w:val="center"/>
      </w:pPr>
      <w:r>
        <w:rPr>
          <w:rFonts w:ascii="Times New Roman" w:hAnsi="Times New Roman"/>
          <w:b w:val="false"/>
          <w:i w:val="false"/>
          <w:color w:val="000000"/>
          <w:sz w:val="21"/>
        </w:rPr>
        <w:t>[Filed 10/8/04, Notice 9/1/04—published 10/27/04, effective 12/1/04]</w:t>
      </w:r>
    </w:p>
    <w:p>
      <w:pPr>
        <w:spacing w:before="0" w:after="0"/>
        <w:ind w:left="120"/>
        <w:jc w:val="center"/>
      </w:pPr>
      <w:r>
        <w:rPr>
          <w:rFonts w:ascii="Times New Roman" w:hAnsi="Times New Roman"/>
          <w:b w:val="false"/>
          <w:i w:val="false"/>
          <w:color w:val="000000"/>
          <w:sz w:val="21"/>
        </w:rPr>
        <w:t>[Filed 8/12/05, Notice 5/25/05—published 8/31/05, effective 10/5/05]</w:t>
      </w:r>
    </w:p>
    <w:p>
      <w:pPr>
        <w:spacing w:before="0" w:after="0"/>
        <w:ind w:left="120"/>
        <w:jc w:val="center"/>
      </w:pPr>
      <w:r>
        <w:rPr>
          <w:rFonts w:ascii="Times New Roman" w:hAnsi="Times New Roman"/>
          <w:b w:val="false"/>
          <w:i w:val="false"/>
          <w:color w:val="000000"/>
          <w:sz w:val="21"/>
        </w:rPr>
        <w:t>[Filed 11/4/05, Notice 9/28/05—published 11/23/05, effective 12/28/05]</w:t>
      </w:r>
    </w:p>
    <w:p>
      <w:pPr>
        <w:spacing w:before="0" w:after="0"/>
        <w:ind w:left="120"/>
        <w:jc w:val="center"/>
      </w:pPr>
      <w:r>
        <w:rPr>
          <w:rFonts w:ascii="Times New Roman" w:hAnsi="Times New Roman"/>
          <w:b w:val="false"/>
          <w:i w:val="false"/>
          <w:color w:val="000000"/>
          <w:sz w:val="21"/>
        </w:rPr>
        <w:t>[Filed Emergency ARC 8078B, IAB 8/26/09, effective 8/7/09]</w:t>
      </w:r>
    </w:p>
    <w:p>
      <w:pPr>
        <w:spacing w:before="0" w:after="0"/>
        <w:ind w:left="120"/>
        <w:jc w:val="center"/>
      </w:pPr>
      <w:r>
        <w:rPr>
          <w:rFonts w:ascii="Times New Roman" w:hAnsi="Times New Roman"/>
          <w:b w:val="false"/>
          <w:i w:val="false"/>
          <w:color w:val="000000"/>
          <w:sz w:val="21"/>
        </w:rPr>
        <w:t>[Filed Emergency ARC 8789B, IAB 6/2/10, effective 5/12/10]</w:t>
      </w:r>
    </w:p>
    <w:p>
      <w:pPr>
        <w:spacing w:before="0" w:after="0"/>
        <w:ind w:left="120"/>
        <w:jc w:val="center"/>
      </w:pPr>
      <w:r>
        <w:rPr>
          <w:rFonts w:ascii="Times New Roman" w:hAnsi="Times New Roman"/>
          <w:b w:val="false"/>
          <w:i w:val="false"/>
          <w:color w:val="000000"/>
          <w:sz w:val="21"/>
        </w:rPr>
        <w:t>[Filed ARC 9028B</w:t>
      </w:r>
      <w:r>
        <w:rPr>
          <w:rFonts w:ascii="Times New Roman" w:hAnsi="Times New Roman"/>
          <w:b w:val="false"/>
          <w:i w:val="false"/>
          <w:color w:val="000000"/>
          <w:sz w:val="21"/>
        </w:rPr>
        <w:t xml:space="preserve"> (Notice ARC 8790B, IAB 6/2/10)</w:t>
      </w:r>
      <w:r>
        <w:rPr>
          <w:rFonts w:ascii="Times New Roman" w:hAnsi="Times New Roman"/>
          <w:b w:val="false"/>
          <w:i w:val="false"/>
          <w:color w:val="000000"/>
          <w:sz w:val="21"/>
        </w:rPr>
        <w:t>, IAB 8/25/10, effective 9/29/10]</w:t>
      </w:r>
    </w:p>
    <w:p>
      <w:pPr>
        <w:spacing w:before="0" w:after="0"/>
        <w:ind w:left="120"/>
        <w:jc w:val="center"/>
      </w:pPr>
      <w:r>
        <w:rPr>
          <w:rFonts w:ascii="Times New Roman" w:hAnsi="Times New Roman"/>
          <w:b w:val="false"/>
          <w:i w:val="false"/>
          <w:color w:val="000000"/>
          <w:sz w:val="21"/>
        </w:rPr>
        <w:t>[Filed ARC 1252C</w:t>
      </w:r>
      <w:r>
        <w:rPr>
          <w:rFonts w:ascii="Times New Roman" w:hAnsi="Times New Roman"/>
          <w:b w:val="false"/>
          <w:i w:val="false"/>
          <w:color w:val="000000"/>
          <w:sz w:val="21"/>
        </w:rPr>
        <w:t xml:space="preserve"> (Notice ARC 1144C, IAB 10/30/13)</w:t>
      </w:r>
      <w:r>
        <w:rPr>
          <w:rFonts w:ascii="Times New Roman" w:hAnsi="Times New Roman"/>
          <w:b w:val="false"/>
          <w:i w:val="false"/>
          <w:color w:val="000000"/>
          <w:sz w:val="21"/>
        </w:rPr>
        <w:t>, IAB 12/25/13, effective 1/29/14]</w:t>
      </w:r>
    </w:p>
    <w:p>
      <w:pPr>
        <w:spacing w:before="0" w:after="0"/>
        <w:ind w:left="120"/>
        <w:jc w:val="center"/>
      </w:pPr>
      <w:r>
        <w:rPr>
          <w:rFonts w:ascii="Times New Roman" w:hAnsi="Times New Roman"/>
          <w:b w:val="false"/>
          <w:i w:val="false"/>
          <w:color w:val="000000"/>
          <w:sz w:val="21"/>
        </w:rPr>
        <w:t>[Filed ARC 1946C</w:t>
      </w:r>
      <w:r>
        <w:rPr>
          <w:rFonts w:ascii="Times New Roman" w:hAnsi="Times New Roman"/>
          <w:b w:val="false"/>
          <w:i w:val="false"/>
          <w:color w:val="000000"/>
          <w:sz w:val="21"/>
        </w:rPr>
        <w:t xml:space="preserve"> (Notice ARC 1762C, IAB 12/10/14)</w:t>
      </w:r>
      <w:r>
        <w:rPr>
          <w:rFonts w:ascii="Times New Roman" w:hAnsi="Times New Roman"/>
          <w:b w:val="false"/>
          <w:i w:val="false"/>
          <w:color w:val="000000"/>
          <w:sz w:val="21"/>
        </w:rPr>
        <w:t>, IAB 4/1/15, effective 5/6/15]</w:t>
      </w:r>
    </w:p>
    <w:p>
      <w:pPr>
        <w:spacing w:before="0" w:after="0"/>
        <w:ind w:left="120"/>
        <w:jc w:val="center"/>
      </w:pPr>
      <w:r>
        <w:rPr>
          <w:rFonts w:ascii="Times New Roman" w:hAnsi="Times New Roman"/>
          <w:b w:val="false"/>
          <w:i w:val="false"/>
          <w:color w:val="000000"/>
          <w:sz w:val="21"/>
        </w:rPr>
        <w:t>[Filed ARC 8901C</w:t>
      </w:r>
      <w:r>
        <w:rPr>
          <w:rFonts w:ascii="Times New Roman" w:hAnsi="Times New Roman"/>
          <w:b w:val="false"/>
          <w:i w:val="false"/>
          <w:color w:val="000000"/>
          <w:sz w:val="21"/>
        </w:rPr>
        <w:t xml:space="preserve"> (Notice ARC 8232C, IAB 10/2/24)</w:t>
      </w:r>
      <w:r>
        <w:rPr>
          <w:rFonts w:ascii="Times New Roman" w:hAnsi="Times New Roman"/>
          <w:b w:val="false"/>
          <w:i w:val="false"/>
          <w:color w:val="000000"/>
          <w:sz w:val="21"/>
        </w:rPr>
        <w:t>, IAB 2/19/25, effective 3/26/25]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265.3.3.pdf" Type="http://schemas.openxmlformats.org/officeDocument/2006/relationships/hyperlink" Id="rId5"/>
    <Relationship TargetMode="External" Target="https://www.legis.iowa.gov/docs/iac/rule/265.3.3.pdf" Type="http://schemas.openxmlformats.org/officeDocument/2006/relationships/hyperlink" Id="rId6"/>
    <Relationship TargetMode="External" Target="https://www.legis.iowa.gov/docs/iac/rule/265.3.3.pdf" Type="http://schemas.openxmlformats.org/officeDocument/2006/relationships/hyperlink" Id="rId7"/>
    <Relationship TargetMode="External" Target="https://www.legis.iowa.gov/docs/ico/chapter/16.5C.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