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WASTEWATER AND DRINKING WATER TREATMENT FINANCIAL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265—28.1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water quality financing review committee created pursuant to Iowa Code section </w:t>
      </w:r>
      <w:hyperlink r:id="rId6">
        <w:r>
          <w:rPr>
            <w:rStyle w:val="Hyperlink"/>
            <w:rFonts w:ascii="Times New Roman" w:hAnsi="Times New Roman"/>
            <w:b w:val="false"/>
            <w:i w:val="false"/>
            <w:color w:val="000000"/>
            <w:sz w:val="22"/>
          </w:rPr>
          <w:t>16.134(10)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w:t>
      </w:r>
      <w:r>
        <w:rPr>
          <w:rFonts w:ascii="Times New Roman" w:hAnsi="Times New Roman"/>
          <w:b w:val="false"/>
          <w:i w:val="false"/>
          <w:color w:val="000000"/>
          <w:sz w:val="22"/>
        </w:rPr>
        <w:t>means all expenses incurred by the recipient and determined by the authority as reasonable and necessary to carry out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16.134(1)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installation or upgrade of wastewater treatment facilities and systems and drinking water treatment facilities and systems, including source water protection projects, and engineering or technical assistance for facility planning and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receiving funds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265—28.2</w:t>
      </w:r>
      <w:r>
        <w:rPr>
          <w:rFonts w:ascii="Times New Roman" w:hAnsi="Times New Roman"/>
          <w:b/>
          <w:i w:val="false"/>
          <w:color w:val="000000"/>
          <w:sz w:val="22"/>
        </w:rPr>
        <w:t xml:space="preserve">(16) </w:t>
      </w:r>
      <w:r>
        <w:rPr>
          <w:rFonts w:ascii="Times New Roman" w:hAnsi="Times New Roman"/>
          <w:b/>
          <w:i w:val="false"/>
          <w:color w:val="000000"/>
          <w:sz w:val="22"/>
        </w:rPr>
        <w:t xml:space="preserve">Project funding. </w:t>
      </w:r>
      <w:r>
        <w:rPr>
          <w:rFonts w:ascii="Times New Roman" w:hAnsi="Times New Roman"/>
          <w:b w:val="false"/>
          <w:i w:val="false"/>
          <w:color w:val="000000"/>
          <w:sz w:val="22"/>
        </w:rPr>
        <w:t xml:space="preserve">The committee will approve or deny applications for grants through the program in accordance with the priorities listed in Iowa Code section </w:t>
      </w:r>
      <w:hyperlink r:id="rId8">
        <w:r>
          <w:rPr>
            <w:rStyle w:val="Hyperlink"/>
            <w:rFonts w:ascii="Times New Roman" w:hAnsi="Times New Roman"/>
            <w:b w:val="false"/>
            <w:i w:val="false"/>
            <w:color w:val="000000"/>
            <w:sz w:val="22"/>
          </w:rPr>
          <w:t>16.134</w:t>
        </w:r>
      </w:hyperlink>
      <w:r>
        <w:rPr>
          <w:rFonts w:ascii="Times New Roman" w:hAnsi="Times New Roman"/>
          <w:b w:val="false"/>
          <w:i w:val="false"/>
          <w:color w:val="000000"/>
          <w:sz w:val="22"/>
        </w:rPr>
        <w:t xml:space="preserve"> and subject to the limitations therein. The committee will determine the weighting of priorities on an annual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265—28.3</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successful applicants in writing of an approved application for a grant. The terms of the grant may be negotiated by the authority and shall be included in a written agreement with the recipient. The agreement may include any other term that the authority deems necessary or convenient for the efficient administration of the program. All eligible costs shall be documented to the satisfaction of the authority before grant funds may be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val="false"/>
          <w:color w:val="000000"/>
          <w:sz w:val="22"/>
        </w:rPr>
        <w:t>The recipient shall maintain records that document all costs associated with the project. The recipient shall provide access to these records to the authority, the auditor of the state of Iowa, or their agents or designees upon request. The recipient shall retain such records and documents for a period of three years from the date of the final disbursement of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val="false"/>
          <w:color w:val="000000"/>
          <w:sz w:val="22"/>
        </w:rPr>
        <w:t>The recipient shall provide the authority or its agents or designees access to the project site on request for the duration of the grant to verify that the funds are being used for the purpose intended, that the construction work meets applicable state and federal requirements, and that the project is being operated and maintained 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28.3(4)</w:t>
      </w:r>
      <w:r>
        <w:rPr>
          <w:rFonts w:ascii="Times New Roman" w:hAnsi="Times New Roman"/>
          <w:b w:val="false"/>
          <w:i w:val="false"/>
          <w:color w:val="000000"/>
          <w:sz w:val="22"/>
        </w:rPr>
        <w:t> </w:t>
      </w:r>
      <w:r>
        <w:rPr>
          <w:rFonts w:ascii="Times New Roman" w:hAnsi="Times New Roman"/>
          <w:b w:val="false"/>
          <w:i w:val="false"/>
          <w:color w:val="000000"/>
          <w:sz w:val="22"/>
        </w:rPr>
        <w:t>The recipient’s accounting procedures shall conform to generally accepted government accounting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28.3(5)</w:t>
      </w:r>
      <w:r>
        <w:rPr>
          <w:rFonts w:ascii="Times New Roman" w:hAnsi="Times New Roman"/>
          <w:b w:val="false"/>
          <w:i w:val="false"/>
          <w:color w:val="000000"/>
          <w:sz w:val="22"/>
        </w:rPr>
        <w:t> </w:t>
      </w:r>
      <w:r>
        <w:rPr>
          <w:rFonts w:ascii="Times New Roman" w:hAnsi="Times New Roman"/>
          <w:b w:val="false"/>
          <w:i w:val="false"/>
          <w:color w:val="000000"/>
          <w:sz w:val="22"/>
        </w:rPr>
        <w:t>The recipient shall comply with all applicable federal and state requirements of the project and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28.3(6)</w:t>
      </w:r>
      <w:r>
        <w:rPr>
          <w:rFonts w:ascii="Times New Roman" w:hAnsi="Times New Roman"/>
          <w:b w:val="false"/>
          <w:i w:val="false"/>
          <w:color w:val="000000"/>
          <w:sz w:val="22"/>
        </w:rPr>
        <w:t> </w:t>
      </w:r>
      <w:r>
        <w:rPr>
          <w:rFonts w:ascii="Times New Roman" w:hAnsi="Times New Roman"/>
          <w:b w:val="false"/>
          <w:i w:val="false"/>
          <w:color w:val="000000"/>
          <w:sz w:val="22"/>
        </w:rPr>
        <w:t>The authority may, for cause, find that a recipient is not in compliance with the requirements of the program. Remedies for noncompliance may include penalties up to and including withholding of or return of grant funds. Findings of noncompliance may include but are not limited to the use of grant funds for activities not described in the application for the grant; failure to begin construction within one year of execution of a grant agreement; or failure to comply with any applicable state or federal rules, regulations, or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9822C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16.134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16.135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11/1/06, Notice 8/30/06—published 11/22/06, effective 12/27/06]</w:t>
      </w:r>
    </w:p>
    <w:p>
      <w:pPr>
        <w:spacing w:before="0" w:after="0"/>
        <w:ind w:left="120"/>
        <w:jc w:val="center"/>
      </w:pPr>
      <w:r>
        <w:rPr>
          <w:rFonts w:ascii="Times New Roman" w:hAnsi="Times New Roman"/>
          <w:b w:val="false"/>
          <w:i w:val="false"/>
          <w:color w:val="000000"/>
          <w:sz w:val="21"/>
        </w:rPr>
        <w:t>[Filed emergency 12/27/06—published 1/17/07, effective 12/27/06]</w:t>
      </w:r>
    </w:p>
    <w:p>
      <w:pPr>
        <w:spacing w:before="0" w:after="0"/>
        <w:ind w:left="120"/>
        <w:jc w:val="center"/>
      </w:pPr>
      <w:r>
        <w:rPr>
          <w:rFonts w:ascii="Times New Roman" w:hAnsi="Times New Roman"/>
          <w:b w:val="false"/>
          <w:i w:val="false"/>
          <w:color w:val="000000"/>
          <w:sz w:val="21"/>
        </w:rPr>
        <w:t>[Filed ARC 4211C</w:t>
      </w:r>
      <w:r>
        <w:rPr>
          <w:rFonts w:ascii="Times New Roman" w:hAnsi="Times New Roman"/>
          <w:b w:val="false"/>
          <w:i w:val="false"/>
          <w:color w:val="000000"/>
          <w:sz w:val="21"/>
        </w:rPr>
        <w:t xml:space="preserve"> (Notice ARC 4090C, IAB 10/24/18)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9822C</w:t>
      </w:r>
      <w:r>
        <w:rPr>
          <w:rFonts w:ascii="Times New Roman" w:hAnsi="Times New Roman"/>
          <w:b w:val="false"/>
          <w:i w:val="false"/>
          <w:color w:val="000000"/>
          <w:sz w:val="21"/>
        </w:rPr>
        <w:t xml:space="preserve"> (Notice ARC 9532C, IAB 9/3/25)</w:t>
      </w:r>
      <w:r>
        <w:rPr>
          <w:rFonts w:ascii="Times New Roman" w:hAnsi="Times New Roman"/>
          <w:b w:val="false"/>
          <w:i w:val="false"/>
          <w:color w:val="000000"/>
          <w:sz w:val="21"/>
        </w:rPr>
        <w:t>, IAB 12/10/25, effective 1/14/26]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134.pdf" Type="http://schemas.openxmlformats.org/officeDocument/2006/relationships/hyperlink" Id="rId6"/>
    <Relationship TargetMode="External" Target="https://www.legis.iowa.gov/docs/ico/chapter/16.134.pdf" Type="http://schemas.openxmlformats.org/officeDocument/2006/relationships/hyperlink" Id="rId7"/>
    <Relationship TargetMode="External" Target="https://www.legis.iowa.gov/docs/ico/chapter/16.134.pdf" Type="http://schemas.openxmlformats.org/officeDocument/2006/relationships/hyperlink" Id="rId8"/>
    <Relationship TargetMode="External" Target="https://www.legis.iowa.gov/docs/ico/chapter/16.134.pdf" Type="http://schemas.openxmlformats.org/officeDocument/2006/relationships/hyperlink" Id="rId9"/>
    <Relationship TargetMode="External" Target="https://www.legis.iowa.gov/docs/ico/chapter/16.13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