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 xml:space="preserve">WATER POLLUTION CONTROL WORKS AND </w:t>
      </w:r>
      <w:r>
        <w:br/>
      </w:r>
      <w:r>
        <w:rPr>
          <w:rFonts w:ascii="Times New Roman" w:hAnsi="Times New Roman"/>
          <w:b w:val="false"/>
          <w:i w:val="false"/>
          <w:color w:val="000000"/>
          <w:sz w:val="21"/>
        </w:rPr>
        <w:t>DRINKING WATER FACILITIES FINANCING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265—26.1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and authority responsibilities. </w:t>
      </w:r>
      <w:r>
        <w:rPr>
          <w:rFonts w:ascii="Times New Roman" w:hAnsi="Times New Roman"/>
          <w:b w:val="false"/>
          <w:i w:val="false"/>
          <w:color w:val="000000"/>
          <w:sz w:val="22"/>
        </w:rPr>
        <w:t xml:space="preserve">The program is established pursuant to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5, and is jointly administered by the department and the authority. The authority is primarily responsible for the financial management of the program pursuant to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5, and Iowa Code chapter </w:t>
      </w:r>
      <w:hyperlink r:id="rId7">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subchapter X, part 2. The authority’s financial management responsibilities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Ensuring the program maintains sufficient financial resources to support projects in perpetuity, including providing state match funds for federal capitalization grants;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Managing the financial assets of the program, including investments and audits;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Receiving, reviewing and approving loan applications;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Executing loan agreements, including establishing loan terms;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Disbursing loan funds and monitoring loan repayments.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 xml:space="preserve">means the Iowa finance authority created in Iowa Code section </w:t>
      </w:r>
      <w:hyperlink r:id="rId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Water Act”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16.131A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“Disadvantaged community” </w:t>
      </w:r>
      <w:r>
        <w:rPr>
          <w:rFonts w:ascii="Times New Roman" w:hAnsi="Times New Roman"/>
          <w:b w:val="false"/>
          <w:i w:val="false"/>
          <w:color w:val="000000"/>
          <w:sz w:val="22"/>
        </w:rPr>
        <w:t>means a community that qualifies for more favorable loan terms, including but not limited to loan forgiveness, based on criteria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 xml:space="preserve">means all costs related to the completion of a project as defined in the Clean Water Act and Safe Drinking Water Act and </w:t>
      </w:r>
      <w:hyperlink r:id="rId10">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a plan developed by DNR identifying the intended uses of funds available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“Linked deposit” </w:t>
      </w:r>
      <w:r>
        <w:rPr>
          <w:rFonts w:ascii="Times New Roman" w:hAnsi="Times New Roman"/>
          <w:b w:val="false"/>
          <w:i w:val="false"/>
          <w:color w:val="000000"/>
          <w:sz w:val="22"/>
        </w:rPr>
        <w:t xml:space="preserve">means funds deposited by the authority to induce a participating lending institution to offer a loan at a lower interest rate for a project type identified in subrule </w:t>
      </w:r>
      <w:hyperlink r:id="rId12">
        <w:r>
          <w:rPr>
            <w:rStyle w:val="Hyperlink"/>
            <w:rFonts w:ascii="Times New Roman" w:hAnsi="Times New Roman"/>
            <w:b w:val="false"/>
            <w:i w:val="false"/>
            <w:color w:val="000000"/>
            <w:sz w:val="22"/>
          </w:rPr>
          <w:t>26.6(7)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revenues”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384.80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“Nonpoint source project” </w:t>
      </w:r>
      <w:r>
        <w:rPr>
          <w:rFonts w:ascii="Times New Roman" w:hAnsi="Times New Roman"/>
          <w:b w:val="false"/>
          <w:i w:val="false"/>
          <w:color w:val="000000"/>
          <w:sz w:val="22"/>
        </w:rPr>
        <w:t>means any project described in Section 319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lending institution” </w:t>
      </w:r>
      <w:r>
        <w:rPr>
          <w:rFonts w:ascii="Times New Roman" w:hAnsi="Times New Roman"/>
          <w:b w:val="false"/>
          <w:i w:val="false"/>
          <w:color w:val="000000"/>
          <w:sz w:val="22"/>
        </w:rPr>
        <w:t xml:space="preserve">means a lending institution approved by the authority to make loans for a project type identified in subrule </w:t>
      </w:r>
      <w:hyperlink r:id="rId14">
        <w:r>
          <w:rPr>
            <w:rStyle w:val="Hyperlink"/>
            <w:rFonts w:ascii="Times New Roman" w:hAnsi="Times New Roman"/>
            <w:b w:val="false"/>
            <w:i w:val="false"/>
            <w:color w:val="000000"/>
            <w:sz w:val="22"/>
          </w:rPr>
          <w:t>26.6(7)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16.131A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receiving funds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Drinking Water Act”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16.131A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projects included on state project priority lists developed and maintained by DNR pursuant to 567—Chapters </w:t>
      </w:r>
      <w:hyperlink r:id="rId1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90</w:t>
        </w:r>
      </w:hyperlink>
      <w:r>
        <w:rPr>
          <w:rFonts w:ascii="Times New Roman" w:hAnsi="Times New Roman"/>
          <w:b w:val="false"/>
          <w:i w:val="false"/>
          <w:color w:val="000000"/>
          <w:sz w:val="22"/>
        </w:rPr>
        <w:t xml:space="preserve"> are eligible for the program. The authority will consider the following when determining whether to provide a loan to an eligible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financial 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willingness to accept all loan terms, conditions, and covenants;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priority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recipient has a record of violations of the law that over a period of time tends to show a consistent pattern or that establishes intentional, criminal, or reckless conduct in violation of such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Applications for loans shall be submitted to the authority in the form and content established by the authority. The application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project budget, and estimated project timeline;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loan amount and loan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security for the loan and documentation that approval processes have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 status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other sources of funds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 forma cash flow analysis in a form acceptable to the authority that demonstrates that the net revenues of the borrower are sufficient pursuant to paragraph </w:t>
      </w:r>
      <w:hyperlink r:id="rId19">
        <w:r>
          <w:rPr>
            <w:rStyle w:val="Hyperlink"/>
            <w:rFonts w:ascii="Times New Roman" w:hAnsi="Times New Roman"/>
            <w:b w:val="false"/>
            <w:i w:val="false"/>
            <w:color w:val="000000"/>
            <w:sz w:val="22"/>
          </w:rPr>
          <w:t>26.5(2)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that technical and environmental review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opinion from the applicant’s counsel documenting that public procurement procedures have been followed, including but not limited to Iowa Code chapters </w:t>
      </w:r>
      <w:hyperlink r:id="rId20">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26A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Subsequent segments of a project that has been previously awarded financial assistance will receive priority over new projects. Loans made for separate segments of a project will be administered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26.3(4)</w:t>
      </w:r>
      <w:r>
        <w:rPr>
          <w:rFonts w:ascii="Times New Roman" w:hAnsi="Times New Roman"/>
          <w:b w:val="false"/>
          <w:i w:val="false"/>
          <w:color w:val="000000"/>
          <w:sz w:val="22"/>
        </w:rPr>
        <w:t> </w:t>
      </w:r>
      <w:r>
        <w:rPr>
          <w:rFonts w:ascii="Times New Roman" w:hAnsi="Times New Roman"/>
          <w:b w:val="false"/>
          <w:i w:val="false"/>
          <w:color w:val="000000"/>
          <w:sz w:val="22"/>
        </w:rPr>
        <w:t>Requested loan amounts may be adjusted to reflect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26.3(5)</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and eligible loan applications that are recommended for approval based on the criteria in subrule </w:t>
      </w:r>
      <w:hyperlink r:id="rId22">
        <w:r>
          <w:rPr>
            <w:rStyle w:val="Hyperlink"/>
            <w:rFonts w:ascii="Times New Roman" w:hAnsi="Times New Roman"/>
            <w:b w:val="false"/>
            <w:i w:val="false"/>
            <w:color w:val="000000"/>
            <w:sz w:val="22"/>
          </w:rPr>
          <w:t>26.3(1)</w:t>
        </w:r>
      </w:hyperlink>
      <w:r>
        <w:rPr>
          <w:rFonts w:ascii="Times New Roman" w:hAnsi="Times New Roman"/>
          <w:b w:val="false"/>
          <w:i w:val="false"/>
          <w:color w:val="000000"/>
          <w:sz w:val="22"/>
        </w:rPr>
        <w:t xml:space="preserve"> will be considered by the authority board. The board may approve, deny, or defer an application for a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265—26.4</w:t>
      </w:r>
      <w:r>
        <w:rPr>
          <w:rFonts w:ascii="Times New Roman" w:hAnsi="Times New Roman"/>
          <w:b/>
          <w:i w:val="false"/>
          <w:color w:val="000000"/>
          <w:sz w:val="22"/>
        </w:rPr>
        <w:t xml:space="preserve">(16) </w:t>
      </w:r>
      <w:r>
        <w:rPr>
          <w:rFonts w:ascii="Times New Roman" w:hAnsi="Times New Roman"/>
          <w:b/>
          <w:i w:val="false"/>
          <w:color w:val="000000"/>
          <w:sz w:val="22"/>
        </w:rPr>
        <w:t xml:space="preserve">Infrastructure construction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color w:val="000000"/>
          <w:sz w:val="22"/>
        </w:rPr>
        <w:t xml:space="preserve">Loan agreements. </w:t>
      </w:r>
      <w:r>
        <w:rPr>
          <w:rFonts w:ascii="Times New Roman" w:hAnsi="Times New Roman"/>
          <w:b w:val="false"/>
          <w:i w:val="false"/>
          <w:color w:val="000000"/>
          <w:sz w:val="22"/>
        </w:rPr>
        <w:t>The authority will prepare a loan agreement after an application has been approved by the authority board. Prior to execution of the agreement, the recipient shall provide an enforceability opinion and, if applicable, a bond counsel opinion as to the status of interest on the obligation in forms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color w:val="000000"/>
          <w:sz w:val="22"/>
        </w:rPr>
        <w:t xml:space="preserve">Loan terms. </w:t>
      </w:r>
      <w:r>
        <w:rPr>
          <w:rFonts w:ascii="Times New Roman" w:hAnsi="Times New Roman"/>
          <w:b w:val="false"/>
          <w:i w:val="false"/>
          <w:color w:val="000000"/>
          <w:sz w:val="22"/>
        </w:rPr>
        <w:t xml:space="preserve">The extent to which the loan terms and fees is established in the IUP are required by </w:t>
      </w:r>
      <w:r>
        <w:rPr>
          <w:rFonts w:ascii="Times New Roman" w:hAnsi="Times New Roman"/>
          <w:b w:val="false"/>
          <w:i w:val="false"/>
          <w:color w:val="000000"/>
          <w:sz w:val="22"/>
        </w:rPr>
        <w:t>40 CFR 35.3150</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35.3555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Interest rates. </w:t>
      </w:r>
      <w:r>
        <w:rPr>
          <w:rFonts w:ascii="Times New Roman" w:hAnsi="Times New Roman"/>
          <w:b w:val="false"/>
          <w:i w:val="false"/>
          <w:color w:val="000000"/>
          <w:sz w:val="22"/>
        </w:rPr>
        <w:t>Loan interest rates shall be established in the IUP based on factors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average daily Bloomberg BVAL General Obligation Municipal AAA 20-year yield;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Taxable and tax-exempt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of loan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rate cost of funds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Availability of other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Prevailing market interest rates of comparable loans;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Long-term program viability.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loan initiation fee shall be established in the IUP. The fee shall be payable on the closing date of the loan agreement. The loan initiation fee will be waived for projects located in a disadvantaged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loan servicing fee shall be established in the IUP. Payment of the loan servicing fee will be made semiannually along with scheduled interest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Revenue pledge. </w:t>
      </w:r>
      <w:r>
        <w:rPr>
          <w:rFonts w:ascii="Times New Roman" w:hAnsi="Times New Roman"/>
          <w:b w:val="false"/>
          <w:i w:val="false"/>
          <w:color w:val="000000"/>
          <w:sz w:val="22"/>
        </w:rPr>
        <w:t>The recipient shall establish sufficient revenue sources for the repayment of the loan, as determined by the authority. To ensure repayment of obligations according to the terms of the loan agreement, the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At the discretion of the director or director’s designee, the authority may require revenue sources and coverage in excess of 110 percent of the amount necessary to pay all revenue obligations if the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first lien upon the net revenues of the recipient’s system. Loans secured by net revenues of a system may rank on a parity basis with other outstanding obligations, or, with the approval of the director or director’s designee, those loans may be subordinate in right of payment to the recipient’s other outstanding revenue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loan may be secured by a general obligation of the recipient, and the recipient may achieve this through the provision for a levy of taxes to repay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payment schedules. </w:t>
      </w:r>
      <w:r>
        <w:rPr>
          <w:rFonts w:ascii="Times New Roman" w:hAnsi="Times New Roman"/>
          <w:b w:val="false"/>
          <w:i w:val="false"/>
          <w:color w:val="000000"/>
          <w:sz w:val="22"/>
        </w:rPr>
        <w:t>The loan agreement shall include an estimated construction drawdown schedule provided by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w:t>
      </w:r>
      <w:r>
        <w:rPr>
          <w:rFonts w:ascii="Times New Roman" w:hAnsi="Times New Roman"/>
          <w:b w:val="false"/>
          <w:i w:val="false"/>
          <w:color w:val="000000"/>
          <w:sz w:val="22"/>
        </w:rPr>
        <w:t> </w:t>
      </w:r>
      <w:r>
        <w:rPr>
          <w:rFonts w:ascii="Times New Roman" w:hAnsi="Times New Roman"/>
          <w:b w:val="false"/>
          <w:i/>
          <w:color w:val="000000"/>
          <w:sz w:val="22"/>
        </w:rPr>
        <w:t xml:space="preserve">Loan commitments. </w:t>
      </w:r>
      <w:r>
        <w:rPr>
          <w:rFonts w:ascii="Times New Roman" w:hAnsi="Times New Roman"/>
          <w:b w:val="false"/>
          <w:i w:val="false"/>
          <w:color w:val="000000"/>
          <w:sz w:val="22"/>
        </w:rPr>
        <w:t>Loan funds are considered a binding commitment at the time a loan agreement is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The recipient shall use the program loan proceeds solely for the purpose of eligible costs of the approved project. The recipient must document all eligible costs to the satisfaction of the authority and the department before loan proceeds are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repayment period. </w:t>
      </w:r>
      <w:r>
        <w:rPr>
          <w:rFonts w:ascii="Times New Roman" w:hAnsi="Times New Roman"/>
          <w:b w:val="false"/>
          <w:i w:val="false"/>
          <w:color w:val="000000"/>
          <w:sz w:val="22"/>
        </w:rPr>
        <w:t>All loans shall be made contingent on the availability of funds. The maximum loan term will be 30 years. Repayment of the loan must begin no later than one year after the project is substantially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A recipient may prepay a loan, in whole or in part, on any date with the prior written consent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265—26.5</w:t>
      </w:r>
      <w:r>
        <w:rPr>
          <w:rFonts w:ascii="Times New Roman" w:hAnsi="Times New Roman"/>
          <w:b/>
          <w:i w:val="false"/>
          <w:color w:val="000000"/>
          <w:sz w:val="22"/>
        </w:rPr>
        <w:t xml:space="preserve">(16) </w:t>
      </w:r>
      <w:r>
        <w:rPr>
          <w:rFonts w:ascii="Times New Roman" w:hAnsi="Times New Roman"/>
          <w:b/>
          <w:i w:val="false"/>
          <w:color w:val="000000"/>
          <w:sz w:val="22"/>
        </w:rPr>
        <w:t xml:space="preserve">Planning and design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color w:val="000000"/>
          <w:sz w:val="22"/>
        </w:rPr>
        <w:t xml:space="preserve">Timing of loan. </w:t>
      </w:r>
      <w:r>
        <w:rPr>
          <w:rFonts w:ascii="Times New Roman" w:hAnsi="Times New Roman"/>
          <w:b w:val="false"/>
          <w:i w:val="false"/>
          <w:color w:val="000000"/>
          <w:sz w:val="22"/>
        </w:rPr>
        <w:t xml:space="preserve">Prior to a recipient’s execution of a loan agreement for an infrastructure construction loan described in rule </w:t>
      </w:r>
      <w:hyperlink r:id="rId23">
        <w:r>
          <w:rPr>
            <w:rStyle w:val="Hyperlink"/>
            <w:rFonts w:ascii="Times New Roman" w:hAnsi="Times New Roman"/>
            <w:b w:val="false"/>
            <w:i w:val="false"/>
            <w:color w:val="000000"/>
            <w:sz w:val="22"/>
          </w:rPr>
          <w:t>265—26.4(16)</w:t>
        </w:r>
      </w:hyperlink>
      <w:r>
        <w:rPr>
          <w:rFonts w:ascii="Times New Roman" w:hAnsi="Times New Roman"/>
          <w:b w:val="false"/>
          <w:i w:val="false"/>
          <w:color w:val="000000"/>
          <w:sz w:val="22"/>
        </w:rPr>
        <w:t>, funds may be loaned to the recipient to pay for initial eligible costs, including the cost of facility planning and design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Planning and design loans must be repaid within three years from the date a loan agreement is executed unless the director or director’s designee provides written consent to a longer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 xml:space="preserve">The interest rate will be specified in the IUP as required by </w:t>
      </w:r>
      <w:r>
        <w:rPr>
          <w:rFonts w:ascii="Times New Roman" w:hAnsi="Times New Roman"/>
          <w:b w:val="false"/>
          <w:i w:val="false"/>
          <w:color w:val="000000"/>
          <w:sz w:val="22"/>
        </w:rPr>
        <w:t>40 CFR 35.3150</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35.3555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w:t>
      </w:r>
      <w:r>
        <w:rPr>
          <w:rFonts w:ascii="Times New Roman" w:hAnsi="Times New Roman"/>
          <w:b w:val="false"/>
          <w:i w:val="false"/>
          <w:color w:val="000000"/>
          <w:sz w:val="22"/>
        </w:rPr>
        <w:t> </w:t>
      </w:r>
      <w:r>
        <w:rPr>
          <w:rFonts w:ascii="Times New Roman" w:hAnsi="Times New Roman"/>
          <w:b w:val="false"/>
          <w:i/>
          <w:color w:val="000000"/>
          <w:sz w:val="22"/>
        </w:rPr>
        <w:t xml:space="preserve">Rollover to construction loan. </w:t>
      </w:r>
      <w:r>
        <w:rPr>
          <w:rFonts w:ascii="Times New Roman" w:hAnsi="Times New Roman"/>
          <w:b w:val="false"/>
          <w:i w:val="false"/>
          <w:color w:val="000000"/>
          <w:sz w:val="22"/>
        </w:rPr>
        <w:t>All funds borrowed by the recipient as a planning and design loan may be financed as a part of a construction loan agreement upon expiration of the term of the planning and design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If the recipient does not execute a state revolving fund construction loan, the planning and design loan shall be paid in full at the end of the three-year term unless the loan term is extended by written consent of the director. The authority may negotiate a payment plan with the recipient in lieu of immediate payment in full.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265—26.6</w:t>
      </w:r>
      <w:r>
        <w:rPr>
          <w:rFonts w:ascii="Times New Roman" w:hAnsi="Times New Roman"/>
          <w:b/>
          <w:i w:val="false"/>
          <w:color w:val="000000"/>
          <w:sz w:val="22"/>
        </w:rPr>
        <w:t xml:space="preserve">(16) </w:t>
      </w:r>
      <w:r>
        <w:rPr>
          <w:rFonts w:ascii="Times New Roman" w:hAnsi="Times New Roman"/>
          <w:b/>
          <w:i w:val="false"/>
          <w:color w:val="000000"/>
          <w:sz w:val="22"/>
        </w:rPr>
        <w:t xml:space="preserve">Nonpoint source loan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w:t>
      </w:r>
      <w:r>
        <w:rPr>
          <w:rFonts w:ascii="Times New Roman" w:hAnsi="Times New Roman"/>
          <w:b w:val="false"/>
          <w:i w:val="false"/>
          <w:color w:val="000000"/>
          <w:sz w:val="22"/>
        </w:rPr>
        <w:t> </w:t>
      </w:r>
      <w:r>
        <w:rPr>
          <w:rFonts w:ascii="Times New Roman" w:hAnsi="Times New Roman"/>
          <w:b w:val="false"/>
          <w:i/>
          <w:color w:val="000000"/>
          <w:sz w:val="22"/>
        </w:rPr>
        <w:t xml:space="preserve">Nonpoint source loan assistance. </w:t>
      </w:r>
      <w:r>
        <w:rPr>
          <w:rFonts w:ascii="Times New Roman" w:hAnsi="Times New Roman"/>
          <w:b w:val="false"/>
          <w:i w:val="false"/>
          <w:color w:val="000000"/>
          <w:sz w:val="22"/>
        </w:rPr>
        <w:t>Loan assistance for nonpoint source projects will be in the form of low-interest loans, linked deposits, or loan participations through participating lending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loan assistance. </w:t>
      </w:r>
      <w:r>
        <w:rPr>
          <w:rFonts w:ascii="Times New Roman" w:hAnsi="Times New Roman"/>
          <w:b w:val="false"/>
          <w:i w:val="false"/>
          <w:color w:val="000000"/>
          <w:sz w:val="22"/>
        </w:rPr>
        <w:t>Application for loan assistance pursuant to this rule may be made at any participating lending institution or submitted to the authority or the authority’s agent, as applicable. A list of participating lending institutions will be made available by the authority or other entity that assists the authority to administer this program. Applications for loan assistance shall be in the form and content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26.6(3)</w:t>
      </w:r>
      <w:r>
        <w:rPr>
          <w:rFonts w:ascii="Times New Roman" w:hAnsi="Times New Roman"/>
          <w:b w:val="false"/>
          <w:i w:val="false"/>
          <w:color w:val="000000"/>
          <w:sz w:val="22"/>
        </w:rPr>
        <w:t> </w:t>
      </w:r>
      <w:r>
        <w:rPr>
          <w:rFonts w:ascii="Times New Roman" w:hAnsi="Times New Roman"/>
          <w:b w:val="false"/>
          <w:i/>
          <w:color w:val="000000"/>
          <w:sz w:val="22"/>
        </w:rPr>
        <w:t xml:space="preserve">Project approval. </w:t>
      </w:r>
      <w:r>
        <w:rPr>
          <w:rFonts w:ascii="Times New Roman" w:hAnsi="Times New Roman"/>
          <w:b w:val="false"/>
          <w:i w:val="false"/>
          <w:color w:val="000000"/>
          <w:sz w:val="22"/>
        </w:rPr>
        <w:t xml:space="preserve">Each project must be approved by the appropriate environmental or conservation agency identified in subrule </w:t>
      </w:r>
      <w:hyperlink r:id="rId24">
        <w:r>
          <w:rPr>
            <w:rStyle w:val="Hyperlink"/>
            <w:rFonts w:ascii="Times New Roman" w:hAnsi="Times New Roman"/>
            <w:b w:val="false"/>
            <w:i w:val="false"/>
            <w:color w:val="000000"/>
            <w:sz w:val="22"/>
          </w:rPr>
          <w:t>26.6(7)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26.6(4)</w:t>
      </w:r>
      <w:r>
        <w:rPr>
          <w:rFonts w:ascii="Times New Roman" w:hAnsi="Times New Roman"/>
          <w:b w:val="false"/>
          <w:i w:val="false"/>
          <w:color w:val="000000"/>
          <w:sz w:val="22"/>
        </w:rPr>
        <w:t> </w:t>
      </w:r>
      <w:r>
        <w:rPr>
          <w:rFonts w:ascii="Times New Roman" w:hAnsi="Times New Roman"/>
          <w:b w:val="false"/>
          <w:i/>
          <w:color w:val="000000"/>
          <w:sz w:val="22"/>
        </w:rPr>
        <w:t xml:space="preserve">Loan approval. </w:t>
      </w:r>
      <w:r>
        <w:rPr>
          <w:rFonts w:ascii="Times New Roman" w:hAnsi="Times New Roman"/>
          <w:b w:val="false"/>
          <w:i w:val="false"/>
          <w:color w:val="000000"/>
          <w:sz w:val="22"/>
        </w:rPr>
        <w:t>For linked deposit programs, the participating lending institution will either approve or deny the loan in accordance with the program requirements after receipt of a completed loan application form. If the loan is approved, the lending institution will notify the authority, or its agent, to reserve funds in that amount. This reservation is necessary to ensure that funds are available at the time of disbursement. If the loan is denied, the lending institution must notify the loan applicant, and the lending institution must clearly state the reasons for the loan denial. For low-interest loans with the authority, the authority or its agent will notify the applicant of the loan approval or denial. For loan participation, the authority or its agent will notify the applicant of the approval 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26.6(5)</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Before acting on a loan application, the lending institution shall ensure that adequate funds are available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26.6(6)</w:t>
      </w:r>
      <w:r>
        <w:rPr>
          <w:rFonts w:ascii="Times New Roman" w:hAnsi="Times New Roman"/>
          <w:b w:val="false"/>
          <w:i w:val="false"/>
          <w:color w:val="000000"/>
          <w:sz w:val="22"/>
        </w:rPr>
        <w:t> </w:t>
      </w:r>
      <w:r>
        <w:rPr>
          <w:rFonts w:ascii="Times New Roman" w:hAnsi="Times New Roman"/>
          <w:b w:val="false"/>
          <w:i/>
          <w:color w:val="000000"/>
          <w:sz w:val="22"/>
        </w:rPr>
        <w:t xml:space="preserve">Property transfer. </w:t>
      </w:r>
      <w:r>
        <w:rPr>
          <w:rFonts w:ascii="Times New Roman" w:hAnsi="Times New Roman"/>
          <w:b w:val="false"/>
          <w:i w:val="false"/>
          <w:color w:val="000000"/>
          <w:sz w:val="22"/>
        </w:rPr>
        <w:t>The balance of a loan made pursuant to this rule shall be immediately due in full if the recipient transfers the project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26.6(7)</w:t>
      </w:r>
      <w:r>
        <w:rPr>
          <w:rFonts w:ascii="Times New Roman" w:hAnsi="Times New Roman"/>
          <w:b w:val="false"/>
          <w:i w:val="false"/>
          <w:color w:val="000000"/>
          <w:sz w:val="22"/>
        </w:rPr>
        <w:t> </w:t>
      </w:r>
      <w:r>
        <w:rPr>
          <w:rFonts w:ascii="Times New Roman" w:hAnsi="Times New Roman"/>
          <w:b w:val="false"/>
          <w:i/>
          <w:color w:val="000000"/>
          <w:sz w:val="22"/>
        </w:rPr>
        <w:t xml:space="preserve">Loan amount and period. </w:t>
      </w:r>
      <w:r>
        <w:rPr>
          <w:rFonts w:ascii="Times New Roman" w:hAnsi="Times New Roman"/>
          <w:b w:val="false"/>
          <w:i w:val="false"/>
          <w:color w:val="000000"/>
          <w:sz w:val="22"/>
        </w:rPr>
        <w:t>All loans will be made contingent on the availability of funds for the applicable purpose as indicated in the IUP. The minimum and maximum loan amounts for each project type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1920"/>
        <w:gridCol w:w="1920"/>
        <w:gridCol w:w="1920"/>
        <w:gridCol w:w="1920"/>
        <w:gridCol w:w="1920"/>
      </w:tblGrid>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Type of Project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Type of Assistance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Minimum Loan Amount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Maximum Outstanding Balance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Maximum Loan Term</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Project Approval Agency</w:t>
            </w:r>
          </w:p>
        </w:tc>
      </w:tr>
      <w:tr>
        <w:trPr>
          <w:trHeight w:val="58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General Nonpoint Source</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Low-interest loans, Linked deposit or Loan participations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maximum</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DNR</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Local Water Protection</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$500,000 per common ownership</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Division of Soil Conservation</w:t>
            </w:r>
          </w:p>
        </w:tc>
      </w:tr>
      <w:tr>
        <w:trPr>
          <w:trHeight w:val="405"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Livestock Water Quality Facilities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$10,000</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$500,000 per common ownership</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 years*</w:t>
            </w:r>
          </w:p>
        </w:tc>
        <w:tc>
          <w:tcPr>
            <w:tcW w:w="192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Division of Soil Conservation </w:t>
            </w:r>
          </w:p>
        </w:tc>
      </w:tr>
      <w:tr>
        <w:trPr>
          <w:trHeight w:val="405" w:hRule="atLeast"/>
        </w:trPr>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On-Site Wastewater Systems Assistance</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Linked deposit</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 maximum</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 years</w:t>
            </w:r>
          </w:p>
        </w:tc>
        <w:tc>
          <w:tcPr>
            <w:tcW w:w="192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County </w:t>
            </w:r>
          </w:p>
        </w:tc>
      </w:tr>
    </w:tbl>
    <w:p>
      <w:pPr>
        <w:spacing w:before="0" w:after="0"/>
        <w:ind w:left="120"/>
        <w:jc w:val="both"/>
      </w:pPr>
      <w:r>
        <w:rPr>
          <w:rFonts w:ascii="Times New Roman" w:hAnsi="Times New Roman"/>
          <w:b w:val="false"/>
          <w:i w:val="false"/>
          <w:color w:val="000000"/>
          <w:sz w:val="22"/>
        </w:rPr>
        <w:t>*If the loan is made only for preparation of a comprehensive nutrient management plan, the loan period shall not exceed five years.</w:t>
      </w:r>
    </w:p>
    <w:p>
      <w:pPr>
        <w:spacing w:before="0" w:after="0"/>
        <w:ind w:left="120"/>
        <w:jc w:val="both"/>
      </w:pPr>
      <w:r>
        <w:rPr>
          <w:rFonts w:ascii="Times New Roman" w:hAnsi="Times New Roman"/>
          <w:b w:val="false"/>
          <w:i w:val="false"/>
          <w:color w:val="000000"/>
          <w:sz w:val="22"/>
        </w:rPr>
        <w:t>For the purposes of this subrule, “common ownership” means the ownership of an animal feeding operation as a sole proprietor, or a majority ownership interest held by a person, in each of two or more animal feeding operations as a joint tenant, tenant in common, shareholder, partner, member, beneficiary, or other equity interest holder. The majority ownership interest is a common ownership interest when it is held directly, indirectly through a spouse or dependent child,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26.6(8)</w:t>
      </w: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A recipient may prepay a loan, in whole or in part, without penalty, with the written consent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26.6(9)</w:t>
      </w:r>
      <w:r>
        <w:rPr>
          <w:rFonts w:ascii="Times New Roman" w:hAnsi="Times New Roman"/>
          <w:b w:val="false"/>
          <w:i w:val="false"/>
          <w:color w:val="000000"/>
          <w:sz w:val="22"/>
        </w:rPr>
        <w:t> </w:t>
      </w:r>
      <w:r>
        <w:rPr>
          <w:rFonts w:ascii="Times New Roman" w:hAnsi="Times New Roman"/>
          <w:b w:val="false"/>
          <w:i/>
          <w:color w:val="000000"/>
          <w:sz w:val="22"/>
        </w:rPr>
        <w:t xml:space="preserve">Loan adjustments. </w:t>
      </w:r>
      <w:r>
        <w:rPr>
          <w:rFonts w:ascii="Times New Roman" w:hAnsi="Times New Roman"/>
          <w:b w:val="false"/>
          <w:i w:val="false"/>
          <w:color w:val="000000"/>
          <w:sz w:val="22"/>
        </w:rPr>
        <w:t>If the eligible costs exceed the loan amount, the recipient may request an increase in the loan amount. The lending institution is authorized to execute a loan for a principal amount of up to 10 percent above the amount of the loan application if the eligible costs exceed the application amount. The authority will evaluate the request by considering available moneys and financial risk. Should the eligible costs be less than the loan amount, the loan shall be appropriately adjusted so that the loan amount does not exceed the amount of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26.6(10)</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Funds shall be disbursed in accordance with the loan agreement. The loan agreement may allow for periodic disbursement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265—26.7</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The recipient shall maintain records that document all costs associated with the project. The recipient shall provide access to these records to the authority, the department, the auditor of the state of Iowa, the EPA, the Office of the Inspector General at the EPA, or their agents or designees upon request. The recipient shall retain such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The recipient shall provide the authority, the DNR, or their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The recipient’s accounting procedures shall conform to generally accepted government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The authority may, for cause, find that a recipient is not in compliance with the requirements of the program. Remedies for noncompliance may include penalties up to and including withholding of or return of loan funds. Findings of noncompliance may include but are not limited to the use of loan funds for activities not described in the application for the grant; failure to begin construction within one year of execution of a loan agreement; or failure to comply with any applicable state or federal rules, regulations, 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265—26.8</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References to the Clean Water Act and Safe Drinking Water Act and the Code of Federal Regulations in this chapter are as in effect on January 14,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5, and Iowa Code sections </w:t>
      </w:r>
      <w:hyperlink r:id="rId26">
        <w:r>
          <w:rPr>
            <w:rStyle w:val="Hyperlink"/>
            <w:rFonts w:ascii="Times New Roman" w:hAnsi="Times New Roman"/>
            <w:b w:val="false"/>
            <w:i w:val="false"/>
            <w:color w:val="000000"/>
            <w:sz w:val="22"/>
          </w:rPr>
          <w:t>16.131</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16.133A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1/13/06, Notice 9/28/05—published 2/1/06, effective 3/8/06]</w:t>
      </w:r>
    </w:p>
    <w:p>
      <w:pPr>
        <w:spacing w:before="0" w:after="0"/>
        <w:ind w:left="120"/>
        <w:jc w:val="center"/>
      </w:pPr>
      <w:r>
        <w:rPr>
          <w:rFonts w:ascii="Times New Roman" w:hAnsi="Times New Roman"/>
          <w:b w:val="false"/>
          <w:i w:val="false"/>
          <w:color w:val="000000"/>
          <w:sz w:val="21"/>
        </w:rPr>
        <w:t>[Filed emergency 12/11/07—published 1/2/08, effective 12/11/07]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[Filed Emergency ARC 8079B, IAB 8/26/09, effective 8/7/09]</w:t>
      </w:r>
    </w:p>
    <w:p>
      <w:pPr>
        <w:spacing w:before="0" w:after="0"/>
        <w:ind w:left="120"/>
        <w:jc w:val="center"/>
      </w:pPr>
      <w:r>
        <w:rPr>
          <w:rFonts w:ascii="Times New Roman" w:hAnsi="Times New Roman"/>
          <w:b w:val="false"/>
          <w:i w:val="false"/>
          <w:color w:val="000000"/>
          <w:sz w:val="21"/>
        </w:rPr>
        <w:t>[Filed ARC 8457B</w:t>
      </w:r>
      <w:r>
        <w:rPr>
          <w:rFonts w:ascii="Times New Roman" w:hAnsi="Times New Roman"/>
          <w:b w:val="false"/>
          <w:i w:val="false"/>
          <w:color w:val="000000"/>
          <w:sz w:val="21"/>
        </w:rPr>
        <w:t xml:space="preserve"> (Notice ARC 8193B,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8906B, IAB 6/30/10, effective 6/10/10]</w:t>
      </w:r>
    </w:p>
    <w:p>
      <w:pPr>
        <w:spacing w:before="0" w:after="0"/>
        <w:ind w:left="120"/>
        <w:jc w:val="center"/>
      </w:pPr>
      <w:r>
        <w:rPr>
          <w:rFonts w:ascii="Times New Roman" w:hAnsi="Times New Roman"/>
          <w:b w:val="false"/>
          <w:i w:val="false"/>
          <w:color w:val="000000"/>
          <w:sz w:val="21"/>
        </w:rPr>
        <w:t>[Filed Emergency ARC 0245C, IAB 8/8/12, effective 7/12/12]</w:t>
      </w:r>
    </w:p>
    <w:p>
      <w:pPr>
        <w:spacing w:before="0" w:after="0"/>
        <w:ind w:left="120"/>
        <w:jc w:val="center"/>
      </w:pPr>
      <w:r>
        <w:rPr>
          <w:rFonts w:ascii="Times New Roman" w:hAnsi="Times New Roman"/>
          <w:b w:val="false"/>
          <w:i w:val="false"/>
          <w:color w:val="000000"/>
          <w:sz w:val="21"/>
        </w:rPr>
        <w:t>[Filed ARC 0431C</w:t>
      </w:r>
      <w:r>
        <w:rPr>
          <w:rFonts w:ascii="Times New Roman" w:hAnsi="Times New Roman"/>
          <w:b w:val="false"/>
          <w:i w:val="false"/>
          <w:color w:val="000000"/>
          <w:sz w:val="21"/>
        </w:rPr>
        <w:t xml:space="preserve"> (Filed Emergency ARC 0244C,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2003C</w:t>
      </w:r>
      <w:r>
        <w:rPr>
          <w:rFonts w:ascii="Times New Roman" w:hAnsi="Times New Roman"/>
          <w:b w:val="false"/>
          <w:i w:val="false"/>
          <w:color w:val="000000"/>
          <w:sz w:val="21"/>
        </w:rPr>
        <w:t xml:space="preserve"> (Notice ARC 1866C,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9821C</w:t>
      </w:r>
      <w:r>
        <w:rPr>
          <w:rFonts w:ascii="Times New Roman" w:hAnsi="Times New Roman"/>
          <w:b w:val="false"/>
          <w:i w:val="false"/>
          <w:color w:val="000000"/>
          <w:sz w:val="21"/>
        </w:rPr>
        <w:t xml:space="preserve"> (Notice ARC 9531C, IAB 9/3/25)</w:t>
      </w:r>
      <w:r>
        <w:rPr>
          <w:rFonts w:ascii="Times New Roman" w:hAnsi="Times New Roman"/>
          <w:b w:val="false"/>
          <w:i w:val="false"/>
          <w:color w:val="000000"/>
          <w:sz w:val="21"/>
        </w:rPr>
        <w:t>, IAB 12/10/25, effective 1/14/26]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co/chapter/16.pdf" Type="http://schemas.openxmlformats.org/officeDocument/2006/relationships/hyperlink" Id="rId7"/>
    <Relationship TargetMode="External" Target="https://www.legis.iowa.gov/docs/ico/chapter/16.1A.pdf" Type="http://schemas.openxmlformats.org/officeDocument/2006/relationships/hyperlink" Id="rId8"/>
    <Relationship TargetMode="External" Target="https://www.legis.iowa.gov/docs/ico/chapter/16.131A.pdf" Type="http://schemas.openxmlformats.org/officeDocument/2006/relationships/hyperlink" Id="rId9"/>
    <Relationship TargetMode="External" Target="https://www.legis.iowa.gov/docs/iac/chapter/567.40.pdf" Type="http://schemas.openxmlformats.org/officeDocument/2006/relationships/hyperlink" Id="rId10"/>
    <Relationship TargetMode="External" Target="https://www.legis.iowa.gov/docs/iac/chapter/567.90.pdf" Type="http://schemas.openxmlformats.org/officeDocument/2006/relationships/hyperlink" Id="rId11"/>
    <Relationship TargetMode="External" Target="https://www.legis.iowa.gov/docs/iac/rule/265.26.6.pdf" Type="http://schemas.openxmlformats.org/officeDocument/2006/relationships/hyperlink" Id="rId12"/>
    <Relationship TargetMode="External" Target="https://www.legis.iowa.gov/docs/ico/chapter/384.80.pdf" Type="http://schemas.openxmlformats.org/officeDocument/2006/relationships/hyperlink" Id="rId13"/>
    <Relationship TargetMode="External" Target="https://www.legis.iowa.gov/docs/iac/rule/265.26.6.pdf" Type="http://schemas.openxmlformats.org/officeDocument/2006/relationships/hyperlink" Id="rId14"/>
    <Relationship TargetMode="External" Target="https://www.legis.iowa.gov/docs/ico/chapter/16.131A.pdf" Type="http://schemas.openxmlformats.org/officeDocument/2006/relationships/hyperlink" Id="rId15"/>
    <Relationship TargetMode="External" Target="https://www.legis.iowa.gov/docs/ico/chapter/16.131A.pdf" Type="http://schemas.openxmlformats.org/officeDocument/2006/relationships/hyperlink" Id="rId16"/>
    <Relationship TargetMode="External" Target="https://www.legis.iowa.gov/docs/iac/chapter/567.44.pdf" Type="http://schemas.openxmlformats.org/officeDocument/2006/relationships/hyperlink" Id="rId17"/>
    <Relationship TargetMode="External" Target="https://www.legis.iowa.gov/docs/iac/chapter/567.90.pdf" Type="http://schemas.openxmlformats.org/officeDocument/2006/relationships/hyperlink" Id="rId18"/>
    <Relationship TargetMode="External" Target="https://www.legis.iowa.gov/docs/iac/rule/265.26.5.pdf" Type="http://schemas.openxmlformats.org/officeDocument/2006/relationships/hyperlink" Id="rId19"/>
    <Relationship TargetMode="External" Target="https://www.legis.iowa.gov/docs/ico/chapter/26.pdf" Type="http://schemas.openxmlformats.org/officeDocument/2006/relationships/hyperlink" Id="rId20"/>
    <Relationship TargetMode="External" Target="https://www.legis.iowa.gov/docs/ico/chapter/26A.pdf" Type="http://schemas.openxmlformats.org/officeDocument/2006/relationships/hyperlink" Id="rId21"/>
    <Relationship TargetMode="External" Target="https://www.legis.iowa.gov/docs/iac/rule/265.26.3.pdf" Type="http://schemas.openxmlformats.org/officeDocument/2006/relationships/hyperlink" Id="rId22"/>
    <Relationship TargetMode="External" Target="https://www.legis.iowa.gov/docs/iac/rule/265.26.4.pdf" Type="http://schemas.openxmlformats.org/officeDocument/2006/relationships/hyperlink" Id="rId23"/>
    <Relationship TargetMode="External" Target="https://www.legis.iowa.gov/docs/iac/rule/265.26.6.pdf" Type="http://schemas.openxmlformats.org/officeDocument/2006/relationships/hyperlink" Id="rId24"/>
    <Relationship TargetMode="External" Target="https://www.legis.iowa.gov/docs/ico/chapter/455B.pdf" Type="http://schemas.openxmlformats.org/officeDocument/2006/relationships/hyperlink" Id="rId25"/>
    <Relationship TargetMode="External" Target="https://www.legis.iowa.gov/docs/ico/chapter/16.131.pdf" Type="http://schemas.openxmlformats.org/officeDocument/2006/relationships/hyperlink" Id="rId26"/>
    <Relationship TargetMode="External" Target="https://www.legis.iowa.gov/docs/ico/chapter/16.133A.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