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NATURAL HAZARD MITIGATION FINANCING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12/2/31</w:t>
      </w:r>
    </w:p>
    <w:p>
      <w:pPr>
        <w:spacing w:before="0" w:after="0"/>
        <w:ind w:left="120"/>
        <w:jc w:val="both"/>
      </w:pPr>
      <w:r>
        <w:rPr>
          <w:rFonts w:ascii="Times New Roman" w:hAnsi="Times New Roman"/>
          <w:b/>
          <w:i w:val="false"/>
          <w:color w:val="000000"/>
          <w:sz w:val="22"/>
        </w:rPr>
        <w:t>265—25.1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and authority responsibilities. </w:t>
      </w:r>
      <w:r>
        <w:rPr>
          <w:rFonts w:ascii="Times New Roman" w:hAnsi="Times New Roman"/>
          <w:b w:val="false"/>
          <w:i w:val="false"/>
          <w:color w:val="000000"/>
          <w:sz w:val="22"/>
        </w:rPr>
        <w:t xml:space="preserve">The program is established pursuant to Iowa Code chapter </w:t>
      </w:r>
      <w:hyperlink r:id="rId5">
        <w:r>
          <w:rPr>
            <w:rStyle w:val="Hyperlink"/>
            <w:rFonts w:ascii="Times New Roman" w:hAnsi="Times New Roman"/>
            <w:b w:val="false"/>
            <w:i w:val="false"/>
            <w:color w:val="000000"/>
            <w:sz w:val="22"/>
          </w:rPr>
          <w:t>29D</w:t>
        </w:r>
      </w:hyperlink>
      <w:r>
        <w:rPr>
          <w:rFonts w:ascii="Times New Roman" w:hAnsi="Times New Roman"/>
          <w:b w:val="false"/>
          <w:i w:val="false"/>
          <w:color w:val="000000"/>
          <w:sz w:val="22"/>
        </w:rPr>
        <w:t xml:space="preserve">. The authority is primarily responsible for the financial management of the program pursuant to Iowa Code chapter </w:t>
      </w:r>
      <w:hyperlink r:id="rId6">
        <w:r>
          <w:rPr>
            <w:rStyle w:val="Hyperlink"/>
            <w:rFonts w:ascii="Times New Roman" w:hAnsi="Times New Roman"/>
            <w:b w:val="false"/>
            <w:i w:val="false"/>
            <w:color w:val="000000"/>
            <w:sz w:val="22"/>
          </w:rPr>
          <w:t>29D</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subchapter X, part 11; the STORM Act; the rules promulgated under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by the department or the authority; and any other applicable federal or state laws. The authority’s financial management responsibilities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Managing the financial assets of the program, including investments and audits;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Receiving, reviewing and approving loan applications;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Executing loan agreements, including establishing loan terms;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Disbursing loan funds and monitoring loan repayments.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265—25.2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finance authority created in Iowa Code section </w:t>
      </w:r>
      <w:hyperlink r:id="rId9">
        <w:r>
          <w:rPr>
            <w:rStyle w:val="Hyperlink"/>
            <w:rFonts w:ascii="Times New Roman" w:hAnsi="Times New Roman"/>
            <w:b w:val="false"/>
            <w:i w:val="false"/>
            <w:color w:val="000000"/>
            <w:sz w:val="22"/>
          </w:rPr>
          <w:t>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29D.2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homeland security and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costs”</w:t>
      </w:r>
      <w:r>
        <w:rPr>
          <w:rFonts w:ascii="Times New Roman" w:hAnsi="Times New Roman"/>
          <w:b w:val="false"/>
          <w:i w:val="false"/>
          <w:color w:val="000000"/>
          <w:sz w:val="22"/>
        </w:rPr>
        <w:t> </w:t>
      </w:r>
      <w:r>
        <w:rPr>
          <w:rFonts w:ascii="Times New Roman" w:hAnsi="Times New Roman"/>
          <w:b w:val="false"/>
          <w:i w:val="false"/>
          <w:color w:val="000000"/>
          <w:sz w:val="22"/>
        </w:rPr>
        <w:t>means all costs related to the completion of a project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29D.2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“FEMA”</w:t>
      </w:r>
      <w:r>
        <w:rPr>
          <w:rFonts w:ascii="Times New Roman" w:hAnsi="Times New Roman"/>
          <w:b w:val="false"/>
          <w:i w:val="false"/>
          <w:color w:val="000000"/>
          <w:sz w:val="22"/>
        </w:rPr>
        <w:t> </w:t>
      </w:r>
      <w:r>
        <w:rPr>
          <w:rFonts w:ascii="Times New Roman" w:hAnsi="Times New Roman"/>
          <w:b w:val="false"/>
          <w:i w:val="false"/>
          <w:color w:val="000000"/>
          <w:sz w:val="22"/>
        </w:rPr>
        <w:t>means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“Fiscal year”</w:t>
      </w:r>
      <w:r>
        <w:rPr>
          <w:rFonts w:ascii="Times New Roman" w:hAnsi="Times New Roman"/>
          <w:b w:val="false"/>
          <w:i w:val="false"/>
          <w:color w:val="000000"/>
          <w:sz w:val="22"/>
        </w:rPr>
        <w:t> </w:t>
      </w:r>
      <w:r>
        <w:rPr>
          <w:rFonts w:ascii="Times New Roman" w:hAnsi="Times New Roman"/>
          <w:b w:val="false"/>
          <w:i w:val="false"/>
          <w:color w:val="000000"/>
          <w:sz w:val="22"/>
        </w:rPr>
        <w:t>means the state fiscal year starting July 1 and ending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“Intended use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“IUP”</w:t>
      </w:r>
      <w:r>
        <w:rPr>
          <w:rFonts w:ascii="Times New Roman" w:hAnsi="Times New Roman"/>
          <w:b w:val="false"/>
          <w:i w:val="false"/>
          <w:color w:val="000000"/>
          <w:sz w:val="22"/>
        </w:rPr>
        <w:t> </w:t>
      </w:r>
      <w:r>
        <w:rPr>
          <w:rFonts w:ascii="Times New Roman" w:hAnsi="Times New Roman"/>
          <w:b w:val="false"/>
          <w:i w:val="false"/>
          <w:color w:val="000000"/>
          <w:sz w:val="22"/>
        </w:rPr>
        <w:t>means a plan developed by the department identifying the intended uses of funds available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“Loan recipient”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16.230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“Net revenues”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384.80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29D.2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16.230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16.230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project proposal list”</w:t>
      </w:r>
      <w:r>
        <w:rPr>
          <w:rFonts w:ascii="Times New Roman" w:hAnsi="Times New Roman"/>
          <w:b w:val="false"/>
          <w:i w:val="false"/>
          <w:color w:val="000000"/>
          <w:sz w:val="22"/>
        </w:rPr>
        <w:t> </w:t>
      </w:r>
      <w:r>
        <w:rPr>
          <w:rFonts w:ascii="Times New Roman" w:hAnsi="Times New Roman"/>
          <w:b w:val="false"/>
          <w:i w:val="false"/>
          <w:color w:val="000000"/>
          <w:sz w:val="22"/>
        </w:rPr>
        <w:t>means a priority-ranked list of mitigation projects the department may fund using STRLF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“Safeguarding tomorrow revolving loan fund”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“STRLF”</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natural hazard mitigation revolving loan fund created in Iowa Code section </w:t>
      </w:r>
      <w:hyperlink r:id="rId17">
        <w:r>
          <w:rPr>
            <w:rStyle w:val="Hyperlink"/>
            <w:rFonts w:ascii="Times New Roman" w:hAnsi="Times New Roman"/>
            <w:b w:val="false"/>
            <w:i w:val="false"/>
            <w:color w:val="000000"/>
            <w:sz w:val="22"/>
          </w:rPr>
          <w:t>29D.4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“Safeguarding tomorrow through ongoing risk mitigation Act”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“STORM 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29D.2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265—25.3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application,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val="false"/>
          <w:color w:val="000000"/>
          <w:sz w:val="22"/>
        </w:rPr>
        <w:t>Only projects included in the state project proposal list and compliant with the IUP are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used to provide a loan to a private entity for the acquisition of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val="false"/>
          <w:color w:val="000000"/>
          <w:sz w:val="22"/>
        </w:rPr>
        <w:t>The authority will consider the following when determining whether to provide a loan to an eligible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recipient’s financial 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 recipient’s willingness to accept all loan terms, conditions, and covenants;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priority of the project on the state proposed project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Funds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loan recipient has a record of violations of the law that over a period of time tends to show a consistent pattern or that establishes intentional, criminal, or reckless conduct in violation of such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val="false"/>
          <w:color w:val="000000"/>
          <w:sz w:val="22"/>
        </w:rPr>
        <w:t>Applications for loans shall be submitted to the authority in the form and content established by the authority. The application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 project budget, and estimated project timeline;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requested loan amount and loan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security for the loan and documentation that approval processes have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status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other sources of funds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pro forma cash flow analysis in a form acceptable to the authority that demonstrates that the net revenues of the borrower are sufficient pursuant to paragraph </w:t>
      </w:r>
      <w:hyperlink r:id="rId19">
        <w:r>
          <w:rPr>
            <w:rStyle w:val="Hyperlink"/>
            <w:rFonts w:ascii="Times New Roman" w:hAnsi="Times New Roman"/>
            <w:b w:val="false"/>
            <w:i w:val="false"/>
            <w:color w:val="000000"/>
            <w:sz w:val="22"/>
          </w:rPr>
          <w:t>25.4(2)</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that technical and environmental review has been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reasonably requested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val="false"/>
          <w:color w:val="000000"/>
          <w:sz w:val="22"/>
        </w:rPr>
        <w:t>Subsequent segments of a project that have been previously awarded financial assistance will receive priority over new projects. Loans made for separate segments of a project will be administered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w:t>
      </w:r>
      <w:r>
        <w:rPr>
          <w:rFonts w:ascii="Times New Roman" w:hAnsi="Times New Roman"/>
          <w:b w:val="false"/>
          <w:i w:val="false"/>
          <w:color w:val="000000"/>
          <w:sz w:val="22"/>
        </w:rPr>
        <w:t> </w:t>
      </w:r>
      <w:r>
        <w:rPr>
          <w:rFonts w:ascii="Times New Roman" w:hAnsi="Times New Roman"/>
          <w:b w:val="false"/>
          <w:i w:val="false"/>
          <w:color w:val="000000"/>
          <w:sz w:val="22"/>
        </w:rPr>
        <w:t>Requested loan amounts may be adjusted to reflect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w:t>
      </w:r>
      <w:r>
        <w:rPr>
          <w:rFonts w:ascii="Times New Roman" w:hAnsi="Times New Roman"/>
          <w:b w:val="false"/>
          <w:i w:val="false"/>
          <w:color w:val="000000"/>
          <w:sz w:val="22"/>
        </w:rPr>
        <w:t> </w:t>
      </w:r>
      <w:r>
        <w:rPr>
          <w:rFonts w:ascii="Times New Roman" w:hAnsi="Times New Roman"/>
          <w:b w:val="false"/>
          <w:i w:val="false"/>
          <w:color w:val="000000"/>
          <w:sz w:val="22"/>
        </w:rPr>
        <w:t>Complete and eligible loan applications that are recommended for approval based on the criteria in these rules will be considered by the authority board. The board may approve, deny, or defer an application for a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265—25.4</w:t>
      </w:r>
      <w:r>
        <w:rPr>
          <w:rFonts w:ascii="Times New Roman" w:hAnsi="Times New Roman"/>
          <w:b/>
          <w:i w:val="false"/>
          <w:color w:val="000000"/>
          <w:sz w:val="22"/>
        </w:rPr>
        <w:t xml:space="preserve">(16) </w:t>
      </w:r>
      <w:r>
        <w:rPr>
          <w:rFonts w:ascii="Times New Roman" w:hAnsi="Times New Roman"/>
          <w:b/>
          <w:i w:val="false"/>
          <w:color w:val="000000"/>
          <w:sz w:val="22"/>
        </w:rPr>
        <w:t xml:space="preserve">Loans.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color w:val="000000"/>
          <w:sz w:val="22"/>
        </w:rPr>
        <w:t xml:space="preserve">Loan agreements. </w:t>
      </w:r>
      <w:r>
        <w:rPr>
          <w:rFonts w:ascii="Times New Roman" w:hAnsi="Times New Roman"/>
          <w:b w:val="false"/>
          <w:i w:val="false"/>
          <w:color w:val="000000"/>
          <w:sz w:val="22"/>
        </w:rPr>
        <w:t>The authority will prepare a loan agreement after an application has been approved by the authority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color w:val="000000"/>
          <w:sz w:val="22"/>
        </w:rPr>
        <w:t xml:space="preserve">Loan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Interest rates. </w:t>
      </w:r>
      <w:r>
        <w:rPr>
          <w:rFonts w:ascii="Times New Roman" w:hAnsi="Times New Roman"/>
          <w:b w:val="false"/>
          <w:i w:val="false"/>
          <w:color w:val="000000"/>
          <w:sz w:val="22"/>
        </w:rPr>
        <w:t>The authority shall determine loan interest rates in cooperation with the department to be established in the IUP.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Recipients shall pay a one-time fee at the time of closing of the loan in an amount equal to 2 percent of the amount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Revenue pledge. </w:t>
      </w:r>
      <w:r>
        <w:rPr>
          <w:rFonts w:ascii="Times New Roman" w:hAnsi="Times New Roman"/>
          <w:b w:val="false"/>
          <w:i w:val="false"/>
          <w:color w:val="000000"/>
          <w:sz w:val="22"/>
        </w:rPr>
        <w:t>The loan recipient shall establish sufficient revenue sources for the repayment of the loan, as determined by the authority. To ensure repayment of obligations according to the terms of the loan agreement, the loan recipient shall agree to impose, collect, and increase, if necessary, user charges, taxes, or other dedicated revenue sources identified for the loan repayment in order to maintain annual net revenues at a level equal to at least 110 percent of the amount necessary to pay debt service on all revenue obligations during the next fiscal year. At the discretion of the director or director’s designee, the authority may allow other revenue sources and coverage of less than 110 percent. At the discretion of the director or director’s designee, the authority may require revenue sources and coverage in excess of 110 percent of the amount necessary to pay all revenue obligations if the loan recipient has a history of default on its revenue obligations or insufficient credit history, as determined by the authority. The loan agreement shall authorize the authority to require revenue adjustment to collect delinquent loan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loan may be secured by a first lien upon the loan recipient’s net revenues. Loans secured by net revenues may rank on a parity basis with other outstanding obligations, or, with the approval of the director or director’s designee, those loans may be subordinate in right of payment to the loan recipient’s other outstanding revenue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loan may be secured by a general obligation of the loan recipient, and the loan recipient may achieve this through the provision for a levy of taxes to repay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Construction payment schedules. </w:t>
      </w:r>
      <w:r>
        <w:rPr>
          <w:rFonts w:ascii="Times New Roman" w:hAnsi="Times New Roman"/>
          <w:b w:val="false"/>
          <w:i w:val="false"/>
          <w:color w:val="000000"/>
          <w:sz w:val="22"/>
        </w:rPr>
        <w:t>The loan agreement shall include an estimated construction drawdown schedule provided by the loan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color w:val="000000"/>
          <w:sz w:val="22"/>
        </w:rPr>
        <w:t xml:space="preserve">Loan commitments. </w:t>
      </w:r>
      <w:r>
        <w:rPr>
          <w:rFonts w:ascii="Times New Roman" w:hAnsi="Times New Roman"/>
          <w:b w:val="false"/>
          <w:i w:val="false"/>
          <w:color w:val="000000"/>
          <w:sz w:val="22"/>
        </w:rPr>
        <w:t>Loan funds are considered a binding commitment at the time a loan agreement is executed.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color w:val="000000"/>
          <w:sz w:val="22"/>
        </w:rPr>
        <w:t xml:space="preserve">Costs. </w:t>
      </w:r>
      <w:r>
        <w:rPr>
          <w:rFonts w:ascii="Times New Roman" w:hAnsi="Times New Roman"/>
          <w:b w:val="false"/>
          <w:i w:val="false"/>
          <w:color w:val="000000"/>
          <w:sz w:val="22"/>
        </w:rPr>
        <w:t>The loan recipient shall use the program loan proceeds solely for the purpose of eligible costs of the approved project. The loan recipient must document all eligible costs to the satisfaction of the authority and the department before loan proceeds are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color w:val="000000"/>
          <w:sz w:val="22"/>
        </w:rPr>
        <w:t xml:space="preserve">Loan amount and repayment period. </w:t>
      </w:r>
      <w:r>
        <w:rPr>
          <w:rFonts w:ascii="Times New Roman" w:hAnsi="Times New Roman"/>
          <w:b w:val="false"/>
          <w:i w:val="false"/>
          <w:color w:val="000000"/>
          <w:sz w:val="22"/>
        </w:rPr>
        <w:t>All loans shall be made contingent on the availability of funds. The maximum loan term will be 30 years. Repayment of the loan must begin no later than one year after the project is substantially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w:t>
      </w:r>
      <w:r>
        <w:rPr>
          <w:rFonts w:ascii="Times New Roman" w:hAnsi="Times New Roman"/>
          <w:b w:val="false"/>
          <w:i w:val="false"/>
          <w:color w:val="000000"/>
          <w:sz w:val="22"/>
        </w:rPr>
        <w:t> </w:t>
      </w:r>
      <w:r>
        <w:rPr>
          <w:rFonts w:ascii="Times New Roman" w:hAnsi="Times New Roman"/>
          <w:b w:val="false"/>
          <w:i/>
          <w:color w:val="000000"/>
          <w:sz w:val="22"/>
        </w:rPr>
        <w:t xml:space="preserve">Prepayment. </w:t>
      </w:r>
      <w:r>
        <w:rPr>
          <w:rFonts w:ascii="Times New Roman" w:hAnsi="Times New Roman"/>
          <w:b w:val="false"/>
          <w:i w:val="false"/>
          <w:color w:val="000000"/>
          <w:sz w:val="22"/>
        </w:rPr>
        <w:t>A loan recipient may prepay a loan, in whole or in part, on any date with the prior written consent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25.4(7)</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Funds shall be disbursed in accordance with the loan agreement. The loan agreement may allow for periodic disbursement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265—25.5</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The loan recipient shall maintain records that document all costs associated with the project. The loan recipient shall provide access to these records to the authority, the department, the auditor of the state of Iowa, FEMA, the Office of the Inspector General at FEMA, or their agents or designees upon request. The loan recipient shall retain such records and documents for inspection and audit purposes for a period of three years from the date of the final loan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The loan recipient shall provide the authority, the department, or their agents or designees access to the project site on request for the duration of the loan to verify that the funds are being used for the purpose intended, that the construction work meets applicable state and federal requirements, and that the project is being operated and maintained as designed.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The loan recipient’s accounting procedures shall conform to generally accepted government accounting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val="false"/>
          <w:color w:val="000000"/>
          <w:sz w:val="22"/>
        </w:rPr>
        <w:t>The authority may, for cause, find that a loan recipient is not in compliance with the requirements of the program. Remedies for noncompliance may include penalties up to and including withholding of loan funds not yet disbursed or return of loan funds already disbursed. Findings of noncompliance may include but are not limited to the use of loan funds for activities not described in the application; failure to begin construction within one year of execution of a loan agreement; or failure to comply with any applicable state or federal rules, regulations, or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265—25.6</w:t>
      </w:r>
      <w:r>
        <w:rPr>
          <w:rFonts w:ascii="Times New Roman" w:hAnsi="Times New Roman"/>
          <w:b/>
          <w:i w:val="false"/>
          <w:color w:val="000000"/>
          <w:sz w:val="22"/>
        </w:rPr>
        <w:t xml:space="preserve">(16) </w:t>
      </w:r>
      <w:r>
        <w:rPr>
          <w:rFonts w:ascii="Times New Roman" w:hAnsi="Times New Roman"/>
          <w:b/>
          <w:i w:val="false"/>
          <w:color w:val="000000"/>
          <w:sz w:val="22"/>
        </w:rPr>
        <w:t xml:space="preserve">References. </w:t>
      </w:r>
      <w:r>
        <w:rPr>
          <w:rFonts w:ascii="Times New Roman" w:hAnsi="Times New Roman"/>
          <w:b w:val="false"/>
          <w:i w:val="false"/>
          <w:color w:val="000000"/>
          <w:sz w:val="22"/>
        </w:rPr>
        <w:t>References to the STORM Act are as in effect on December 2,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29D</w:t>
        </w:r>
      </w:hyperlink>
      <w:r>
        <w:rPr>
          <w:rFonts w:ascii="Times New Roman" w:hAnsi="Times New Roman"/>
          <w:b w:val="false"/>
          <w:i w:val="false"/>
          <w:color w:val="000000"/>
          <w:sz w:val="22"/>
        </w:rPr>
        <w:t xml:space="preserve"> and sections </w:t>
      </w:r>
      <w:hyperlink r:id="rId21">
        <w:r>
          <w:rPr>
            <w:rStyle w:val="Hyperlink"/>
            <w:rFonts w:ascii="Times New Roman" w:hAnsi="Times New Roman"/>
            <w:b w:val="false"/>
            <w:i w:val="false"/>
            <w:color w:val="000000"/>
            <w:sz w:val="22"/>
          </w:rPr>
          <w:t>16.230</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16.233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0693D</w:t>
      </w:r>
      <w:r>
        <w:rPr>
          <w:rFonts w:ascii="Times New Roman" w:hAnsi="Times New Roman"/>
          <w:b w:val="false"/>
          <w:i w:val="false"/>
          <w:color w:val="000000"/>
          <w:sz w:val="21"/>
        </w:rPr>
        <w:t xml:space="preserve"> (Notice ARC 0445D, IAB 7/22/26)</w:t>
      </w:r>
      <w:r>
        <w:rPr>
          <w:rFonts w:ascii="Times New Roman" w:hAnsi="Times New Roman"/>
          <w:b w:val="false"/>
          <w:i w:val="false"/>
          <w:color w:val="000000"/>
          <w:sz w:val="21"/>
        </w:rPr>
        <w:t>, IAB 10/28/26, effective 12/2/26]</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D.pdf" Type="http://schemas.openxmlformats.org/officeDocument/2006/relationships/hyperlink" Id="rId5"/>
    <Relationship TargetMode="External" Target="https://www.legis.iowa.gov/docs/ico/chapter/29D.pdf" Type="http://schemas.openxmlformats.org/officeDocument/2006/relationships/hyperlink" Id="rId6"/>
    <Relationship TargetMode="External" Target="https://www.legis.iowa.gov/docs/ico/chapter/16.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6.1.pdf" Type="http://schemas.openxmlformats.org/officeDocument/2006/relationships/hyperlink" Id="rId9"/>
    <Relationship TargetMode="External" Target="https://www.legis.iowa.gov/docs/ico/chapter/29D.2.pdf" Type="http://schemas.openxmlformats.org/officeDocument/2006/relationships/hyperlink" Id="rId10"/>
    <Relationship TargetMode="External" Target="https://www.legis.iowa.gov/docs/ico/chapter/29D.2.pdf" Type="http://schemas.openxmlformats.org/officeDocument/2006/relationships/hyperlink" Id="rId11"/>
    <Relationship TargetMode="External" Target="https://www.legis.iowa.gov/docs/ico/chapter/16.230.pdf" Type="http://schemas.openxmlformats.org/officeDocument/2006/relationships/hyperlink" Id="rId12"/>
    <Relationship TargetMode="External" Target="https://www.legis.iowa.gov/docs/ico/chapter/384.80.pdf" Type="http://schemas.openxmlformats.org/officeDocument/2006/relationships/hyperlink" Id="rId13"/>
    <Relationship TargetMode="External" Target="https://www.legis.iowa.gov/docs/ico/chapter/29D.2.pdf" Type="http://schemas.openxmlformats.org/officeDocument/2006/relationships/hyperlink" Id="rId14"/>
    <Relationship TargetMode="External" Target="https://www.legis.iowa.gov/docs/ico/chapter/16.230.pdf" Type="http://schemas.openxmlformats.org/officeDocument/2006/relationships/hyperlink" Id="rId15"/>
    <Relationship TargetMode="External" Target="https://www.legis.iowa.gov/docs/ico/chapter/16.230.pdf" Type="http://schemas.openxmlformats.org/officeDocument/2006/relationships/hyperlink" Id="rId16"/>
    <Relationship TargetMode="External" Target="https://www.legis.iowa.gov/docs/ico/chapter/29D.4.pdf" Type="http://schemas.openxmlformats.org/officeDocument/2006/relationships/hyperlink" Id="rId17"/>
    <Relationship TargetMode="External" Target="https://www.legis.iowa.gov/docs/ico/chapter/29D.2.pdf" Type="http://schemas.openxmlformats.org/officeDocument/2006/relationships/hyperlink" Id="rId18"/>
    <Relationship TargetMode="External" Target="https://www.legis.iowa.gov/docs/iac/rule/265.25.4.pdf" Type="http://schemas.openxmlformats.org/officeDocument/2006/relationships/hyperlink" Id="rId19"/>
    <Relationship TargetMode="External" Target="https://www.legis.iowa.gov/docs/ico/chapter/29D.pdf" Type="http://schemas.openxmlformats.org/officeDocument/2006/relationships/hyperlink" Id="rId20"/>
    <Relationship TargetMode="External" Target="https://www.legis.iowa.gov/docs/ico/chapter/16.230.pdf" Type="http://schemas.openxmlformats.org/officeDocument/2006/relationships/hyperlink" Id="rId21"/>
    <Relationship TargetMode="External" Target="https://www.legis.iowa.gov/docs/ico/chapter/16.233.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