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HOME- AND COMMUNITY-BASED SERVICES RENT SUBSIDY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265—24.1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aged 18 or over who participates in one of the home- and community-based services waiver programs, habilitation services, or Money Follows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“Habilitation services” </w:t>
      </w:r>
      <w:r>
        <w:rPr>
          <w:rFonts w:ascii="Times New Roman" w:hAnsi="Times New Roman"/>
          <w:b w:val="false"/>
          <w:i w:val="false"/>
          <w:color w:val="000000"/>
          <w:sz w:val="22"/>
        </w:rPr>
        <w:t>means an Iowa Medicaid program designed to provide home- and community-based services to Iowans with the functional impairments typically associated with chronic mental illnesses.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services waiver program” </w:t>
      </w:r>
      <w:r>
        <w:rPr>
          <w:rFonts w:ascii="Times New Roman" w:hAnsi="Times New Roman"/>
          <w:b w:val="false"/>
          <w:i w:val="false"/>
          <w:color w:val="000000"/>
          <w:sz w:val="22"/>
        </w:rPr>
        <w:t xml:space="preserve">means any of the waiver programs administered by the department of health and human services under the provisions set forth in </w:t>
      </w:r>
      <w:hyperlink r:id="rId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the habilitation services waiver, or Money Follows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Choice Voucher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“HCV program” </w:t>
      </w:r>
      <w:r>
        <w:rPr>
          <w:rFonts w:ascii="Times New Roman" w:hAnsi="Times New Roman"/>
          <w:b w:val="false"/>
          <w:i w:val="false"/>
          <w:color w:val="000000"/>
          <w:sz w:val="22"/>
        </w:rPr>
        <w:t>means the federal government’s program created in the Housing and Community Development Act of 1974, 42 U.S.C. Ch. 69, §5301 et seq. (1974).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“HUD” </w:t>
      </w:r>
      <w:r>
        <w:rPr>
          <w:rFonts w:ascii="Times New Roman" w:hAnsi="Times New Roman"/>
          <w:b w:val="false"/>
          <w:i w:val="false"/>
          <w:color w:val="000000"/>
          <w:sz w:val="22"/>
        </w:rPr>
        <w:t>means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guardian” </w:t>
      </w:r>
      <w:r>
        <w:rPr>
          <w:rFonts w:ascii="Times New Roman" w:hAnsi="Times New Roman"/>
          <w:b w:val="false"/>
          <w:i w:val="false"/>
          <w:color w:val="000000"/>
          <w:sz w:val="22"/>
        </w:rPr>
        <w:t>means a person lawfully invested with the power, and charged with the obligation, of taking care of and managing the property and rights of a recipient who, because of age, understanding, or self-control, is considered incapable of administering the recipient’s own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“Money Follows the Person”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“MFP” </w:t>
      </w:r>
      <w:r>
        <w:rPr>
          <w:rFonts w:ascii="Times New Roman" w:hAnsi="Times New Roman"/>
          <w:b w:val="false"/>
          <w:i w:val="false"/>
          <w:color w:val="000000"/>
          <w:sz w:val="22"/>
        </w:rPr>
        <w:t>means Iowa’s Money Follows the Person partnership for community integration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home- and community-based rent subsidy program as defined and structured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dependent” </w:t>
      </w:r>
      <w:r>
        <w:rPr>
          <w:rFonts w:ascii="Times New Roman" w:hAnsi="Times New Roman"/>
          <w:b w:val="false"/>
          <w:i w:val="false"/>
          <w:color w:val="000000"/>
          <w:sz w:val="22"/>
        </w:rPr>
        <w:t>means the applicant’s child who is claimed as a dependent of the applicant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rental unit” </w:t>
      </w:r>
      <w:r>
        <w:rPr>
          <w:rFonts w:ascii="Times New Roman" w:hAnsi="Times New Roman"/>
          <w:b w:val="false"/>
          <w:i w:val="false"/>
          <w:color w:val="000000"/>
          <w:sz w:val="22"/>
        </w:rPr>
        <w:t xml:space="preserve">means a housing unit subject to the provisions of Iowa Code chapter </w:t>
      </w:r>
      <w:hyperlink r:id="rId7">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and for which a signed written rental agreement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an applicant approved for and receiving rent subsidy payments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“Representative payee” </w:t>
      </w:r>
      <w:r>
        <w:rPr>
          <w:rFonts w:ascii="Times New Roman" w:hAnsi="Times New Roman"/>
          <w:b w:val="false"/>
          <w:i w:val="false"/>
          <w:color w:val="000000"/>
          <w:sz w:val="22"/>
        </w:rPr>
        <w:t>means a person who is appointed for a recipient unable to receive and manage the recipient’s own benefits due to mental or physical impairments. The representative payee is to use the benefits in the recipient’s best interest and is personally liable for misuse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265—24.2</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w:t>
      </w:r>
      <w:r>
        <w:rPr>
          <w:rFonts w:ascii="Times New Roman" w:hAnsi="Times New Roman"/>
          <w:b w:val="false"/>
          <w:i w:val="false"/>
          <w:color w:val="000000"/>
          <w:sz w:val="22"/>
        </w:rPr>
        <w:t> </w:t>
      </w:r>
      <w:r>
        <w:rPr>
          <w:rFonts w:ascii="Times New Roman" w:hAnsi="Times New Roman"/>
          <w:b w:val="false"/>
          <w:i/>
          <w:color w:val="000000"/>
          <w:sz w:val="22"/>
        </w:rPr>
        <w:t xml:space="preserve">Demonstrated need. </w:t>
      </w:r>
      <w:r>
        <w:rPr>
          <w:rFonts w:ascii="Times New Roman" w:hAnsi="Times New Roman"/>
          <w:b w:val="false"/>
          <w:i w:val="false"/>
          <w:color w:val="000000"/>
          <w:sz w:val="22"/>
        </w:rPr>
        <w:t>An eligible applicant will demonstrate need for rent subsidy by meeting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a copy of an executed rental agreement showing the applicant as a tenant, with signatures by the landlord and the applicant or the applicant’s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evidence that the applicant pays more than 30 percent of the applicant’s gross income for rent, with a minimum contribution of $25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will not receive any other rental assistance while receiving rent subsidy payments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not use this program to substitute for any other ongoing rent subsidy being received at the time of application to this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rental unit must be a qualified rental unit and must not be owned by someone who lives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24.2(2)</w:t>
      </w:r>
      <w:r>
        <w:rPr>
          <w:rFonts w:ascii="Times New Roman" w:hAnsi="Times New Roman"/>
          <w:b w:val="false"/>
          <w:i w:val="false"/>
          <w:color w:val="000000"/>
          <w:sz w:val="22"/>
        </w:rPr>
        <w:t> </w:t>
      </w:r>
      <w:r>
        <w:rPr>
          <w:rFonts w:ascii="Times New Roman" w:hAnsi="Times New Roman"/>
          <w:b w:val="false"/>
          <w:i/>
          <w:color w:val="000000"/>
          <w:sz w:val="22"/>
        </w:rPr>
        <w:t xml:space="preserve">Ineligible for other rent subsidies. </w:t>
      </w:r>
      <w:r>
        <w:rPr>
          <w:rFonts w:ascii="Times New Roman" w:hAnsi="Times New Roman"/>
          <w:b w:val="false"/>
          <w:i w:val="false"/>
          <w:color w:val="000000"/>
          <w:sz w:val="22"/>
        </w:rPr>
        <w:t>An eligible applicant for rent subsidy payments under this program will have been determined ineligible for the HCV program, be on the HCV program waiting list, or document that the HCV program waiting list is closed. If the HCV waiting list is currently closed, the applicant is responsible for monitoring the status of the waiting list application period and must apply at the first available opportunity and provide documentation of an HCV application submission to the local public housing authority. If the authority determines an applicant failed to apply for HCV at the first available opportunity, the authority may remove the applicant from the program or the program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w:t>
      </w:r>
      <w:r>
        <w:rPr>
          <w:rFonts w:ascii="Times New Roman" w:hAnsi="Times New Roman"/>
          <w:b w:val="false"/>
          <w:i w:val="false"/>
          <w:color w:val="000000"/>
          <w:sz w:val="22"/>
        </w:rPr>
        <w:t>Applications for the program may be obtained on the authority’s website. An applicant shall complete the application and provide all required documentation. For the purposes of this rule, the application date means the date the completed application, including all required documentation, is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val="false"/>
          <w:color w:val="000000"/>
          <w:sz w:val="22"/>
        </w:rPr>
        <w:t>The authority will review each completed application and determine whether the applicant is eligible for the program. The applicant may elect to have any of the following notified: legal guardian, case manager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maintain and administer a statewide waiting list for the program. When an application is received, the applicant will be placed on the waiting list according to the application date unless the provisions of Iowa Code section </w:t>
      </w:r>
      <w:hyperlink r:id="rId8">
        <w:r>
          <w:rPr>
            <w:rStyle w:val="Hyperlink"/>
            <w:rFonts w:ascii="Times New Roman" w:hAnsi="Times New Roman"/>
            <w:b w:val="false"/>
            <w:i w:val="false"/>
            <w:color w:val="000000"/>
            <w:sz w:val="22"/>
          </w:rPr>
          <w:t>16.55</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funding allows additional applicants to be added to the program, the authority will request updated documentation from the next applicant on the waiting list, and each applicant’s eligibility will be determined based upon the updated documentation. If the completed application is not received by the deadline specified by the authority, the applicant may be removed from the waiting list. If the authority determines an applicant is eligible for the program, the authority will notify the applicant of the amount of monthly rent subsidy within 30 days of making the determination.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265—24.4</w:t>
      </w:r>
      <w:r>
        <w:rPr>
          <w:rFonts w:ascii="Times New Roman" w:hAnsi="Times New Roman"/>
          <w:b/>
          <w:i w:val="false"/>
          <w:color w:val="000000"/>
          <w:sz w:val="22"/>
        </w:rPr>
        <w:t xml:space="preserve">(16) </w:t>
      </w:r>
      <w:r>
        <w:rPr>
          <w:rFonts w:ascii="Times New Roman" w:hAnsi="Times New Roman"/>
          <w:b/>
          <w:i w:val="false"/>
          <w:color w:val="000000"/>
          <w:sz w:val="22"/>
        </w:rPr>
        <w:t xml:space="preserve">Rent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color w:val="000000"/>
          <w:sz w:val="22"/>
        </w:rPr>
        <w:t xml:space="preserve">Use of subsidy. </w:t>
      </w:r>
      <w:r>
        <w:rPr>
          <w:rFonts w:ascii="Times New Roman" w:hAnsi="Times New Roman"/>
          <w:b w:val="false"/>
          <w:i w:val="false"/>
          <w:color w:val="000000"/>
          <w:sz w:val="22"/>
        </w:rPr>
        <w:t>Assistance shall be used for rental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color w:val="000000"/>
          <w:sz w:val="22"/>
        </w:rPr>
        <w:t xml:space="preserve">Maximum monthly payment for rent. </w:t>
      </w:r>
      <w:r>
        <w:rPr>
          <w:rFonts w:ascii="Times New Roman" w:hAnsi="Times New Roman"/>
          <w:b w:val="false"/>
          <w:i w:val="false"/>
          <w:color w:val="000000"/>
          <w:sz w:val="22"/>
        </w:rPr>
        <w:t>Assistance for rent will be equal to the lesser of the rent paid by the recipient or the current applicable fair market rent as published by HUD for the area where the recipient’s residence is located, less 30 percent of the recipient’s gross monthly income. The fair market rent used will be that for a one-bedroom unit or a proportionate share of the fair market rent in living units containing more than one bedroom. When the recipient resides with one or more qualified dependents, the proportionate share may consist of additional bedrooms, applying the same maximum monthly payment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color w:val="000000"/>
          <w:sz w:val="22"/>
        </w:rPr>
        <w:t xml:space="preserve">Monthly payment. </w:t>
      </w:r>
      <w:r>
        <w:rPr>
          <w:rFonts w:ascii="Times New Roman" w:hAnsi="Times New Roman"/>
          <w:b w:val="false"/>
          <w:i w:val="false"/>
          <w:color w:val="000000"/>
          <w:sz w:val="22"/>
        </w:rPr>
        <w:t xml:space="preserve">Recipients approved for rent subsidy payments will receive an ongoing monthly payment equal to the amount determined pursuant to subrule </w:t>
      </w:r>
      <w:hyperlink r:id="rId9">
        <w:r>
          <w:rPr>
            <w:rStyle w:val="Hyperlink"/>
            <w:rFonts w:ascii="Times New Roman" w:hAnsi="Times New Roman"/>
            <w:b w:val="false"/>
            <w:i w:val="false"/>
            <w:color w:val="000000"/>
            <w:sz w:val="22"/>
          </w:rPr>
          <w:t>24.4(2)</w:t>
        </w:r>
      </w:hyperlink>
      <w:r>
        <w:rPr>
          <w:rFonts w:ascii="Times New Roman" w:hAnsi="Times New Roman"/>
          <w:b w:val="false"/>
          <w:i w:val="false"/>
          <w:color w:val="000000"/>
          <w:sz w:val="22"/>
        </w:rPr>
        <w:t xml:space="preserve">. Payments may be made on behalf of a recipient directly to the recipient’s landlord.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265—24.5</w:t>
      </w:r>
      <w:r>
        <w:rPr>
          <w:rFonts w:ascii="Times New Roman" w:hAnsi="Times New Roman"/>
          <w:b/>
          <w:i w:val="false"/>
          <w:color w:val="000000"/>
          <w:sz w:val="22"/>
        </w:rPr>
        <w:t xml:space="preserve">(16) </w:t>
      </w:r>
      <w:r>
        <w:rPr>
          <w:rFonts w:ascii="Times New Roman" w:hAnsi="Times New Roman"/>
          <w:b/>
          <w:i w:val="false"/>
          <w:color w:val="000000"/>
          <w:sz w:val="22"/>
        </w:rPr>
        <w:t xml:space="preserve">Redetermination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color w:val="000000"/>
          <w:sz w:val="22"/>
        </w:rPr>
        <w:t xml:space="preserve">Time of completion. </w:t>
      </w:r>
      <w:r>
        <w:rPr>
          <w:rFonts w:ascii="Times New Roman" w:hAnsi="Times New Roman"/>
          <w:b w:val="false"/>
          <w:i w:val="false"/>
          <w:color w:val="000000"/>
          <w:sz w:val="22"/>
        </w:rPr>
        <w:t>A redetermination of eligibility for rent subsidy payments will be completed annually unless one of the following conditions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circumstances that affects eligibility in accordance with rule </w:t>
      </w:r>
      <w:hyperlink r:id="rId10">
        <w:r>
          <w:rPr>
            <w:rStyle w:val="Hyperlink"/>
            <w:rFonts w:ascii="Times New Roman" w:hAnsi="Times New Roman"/>
            <w:b w:val="false"/>
            <w:i w:val="false"/>
            <w:color w:val="000000"/>
            <w:sz w:val="22"/>
          </w:rPr>
          <w:t>265—24.2</w:t>
        </w:r>
      </w:hyperlink>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moves from the residence stated on the approved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 change greater than $100 in the recipient’s gross monthly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color w:val="000000"/>
          <w:sz w:val="22"/>
        </w:rPr>
        <w:t xml:space="preserve">Renewal notice. </w:t>
      </w:r>
      <w:r>
        <w:rPr>
          <w:rFonts w:ascii="Times New Roman" w:hAnsi="Times New Roman"/>
          <w:b w:val="false"/>
          <w:i w:val="false"/>
          <w:color w:val="000000"/>
          <w:sz w:val="22"/>
        </w:rPr>
        <w:t>The authority will send a renewal notice to the recipient and, if applicable, the recipient’s legal guardian, case manager or representative payee at least 30 days before the annual redetermination deadline. The renewal notice will specify the annual redetermination deadline and the documentation that must be submitted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shall submit the completed application and required documents to the authority as directed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authority does not receive the completed application and required documents by the annual redetermination deadline, the recipient’s rent subsidy will be terminated.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265—24.6</w:t>
      </w:r>
      <w:r>
        <w:rPr>
          <w:rFonts w:ascii="Times New Roman" w:hAnsi="Times New Roman"/>
          <w:b/>
          <w:i w:val="false"/>
          <w:color w:val="000000"/>
          <w:sz w:val="22"/>
        </w:rPr>
        <w:t xml:space="preserve">(16) </w:t>
      </w:r>
      <w:r>
        <w:rPr>
          <w:rFonts w:ascii="Times New Roman" w:hAnsi="Times New Roman"/>
          <w:b/>
          <w:i w:val="false"/>
          <w:color w:val="000000"/>
          <w:sz w:val="22"/>
        </w:rPr>
        <w:t xml:space="preserve">Termination of rent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color w:val="000000"/>
          <w:sz w:val="22"/>
        </w:rPr>
        <w:t xml:space="preserve">Reasons for termination. </w:t>
      </w:r>
      <w:r>
        <w:rPr>
          <w:rFonts w:ascii="Times New Roman" w:hAnsi="Times New Roman"/>
          <w:b w:val="false"/>
          <w:i w:val="false"/>
          <w:color w:val="000000"/>
          <w:sz w:val="22"/>
        </w:rPr>
        <w:t>The authority may terminate the rent subsidy at the end of a month in which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recipient does not meet one or more of the eligibility criteria listed in rule </w:t>
      </w:r>
      <w:hyperlink r:id="rId11">
        <w:r>
          <w:rPr>
            <w:rStyle w:val="Hyperlink"/>
            <w:rFonts w:ascii="Times New Roman" w:hAnsi="Times New Roman"/>
            <w:b w:val="false"/>
            <w:i w:val="false"/>
            <w:color w:val="000000"/>
            <w:sz w:val="22"/>
          </w:rPr>
          <w:t>265—24.2</w:t>
        </w:r>
      </w:hyperlink>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recipient fails to submit documentation required pursuant to subrule </w:t>
      </w:r>
      <w:hyperlink r:id="rId12">
        <w:r>
          <w:rPr>
            <w:rStyle w:val="Hyperlink"/>
            <w:rFonts w:ascii="Times New Roman" w:hAnsi="Times New Roman"/>
            <w:b w:val="false"/>
            <w:i w:val="false"/>
            <w:color w:val="000000"/>
            <w:sz w:val="22"/>
          </w:rPr>
          <w:t>24.5(2)</w:t>
        </w:r>
      </w:hyperlink>
      <w:r>
        <w:rPr>
          <w:rFonts w:ascii="Times New Roman" w:hAnsi="Times New Roman"/>
          <w:b w:val="false"/>
          <w:i w:val="false"/>
          <w:color w:val="000000"/>
          <w:sz w:val="22"/>
        </w:rPr>
        <w:t xml:space="preserve"> by the deadline established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Rent subsidy program funds are exhausted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recipient, case manager, legal guardian or representative payee threatens physical violence or injury toward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recipient provides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recipient, legal guardian or representative payee misuses rent subsidy payments for purposes other than rent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recipient is not in compliance with any other programs offered or administered by the authority while receiving rent subsidy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recipient. </w:t>
      </w:r>
      <w:r>
        <w:rPr>
          <w:rFonts w:ascii="Times New Roman" w:hAnsi="Times New Roman"/>
          <w:b w:val="false"/>
          <w:i w:val="false"/>
          <w:color w:val="000000"/>
          <w:sz w:val="22"/>
        </w:rPr>
        <w:t>If the authority terminates a recipient’s rent subsidy, the authority will notify the recipient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24.6(3)</w:t>
      </w:r>
      <w:r>
        <w:rPr>
          <w:rFonts w:ascii="Times New Roman" w:hAnsi="Times New Roman"/>
          <w:b w:val="false"/>
          <w:i w:val="false"/>
          <w:color w:val="000000"/>
          <w:sz w:val="22"/>
        </w:rPr>
        <w:t> </w:t>
      </w:r>
      <w:r>
        <w:rPr>
          <w:rFonts w:ascii="Times New Roman" w:hAnsi="Times New Roman"/>
          <w:b w:val="false"/>
          <w:i/>
          <w:color w:val="000000"/>
          <w:sz w:val="22"/>
        </w:rPr>
        <w:t xml:space="preserve">Reporting of changes. </w:t>
      </w:r>
      <w:r>
        <w:rPr>
          <w:rFonts w:ascii="Times New Roman" w:hAnsi="Times New Roman"/>
          <w:b w:val="false"/>
          <w:i w:val="false"/>
          <w:color w:val="000000"/>
          <w:sz w:val="22"/>
        </w:rPr>
        <w:t xml:space="preserve">The recipient or the recipient’s legal guardian or representative payee, as applicable, is required to report to the authority any changes that may affect eligibility within ten business days of the occurrence of the change, including changes in circumstance listed under subrule </w:t>
      </w:r>
      <w:hyperlink r:id="rId13">
        <w:r>
          <w:rPr>
            <w:rStyle w:val="Hyperlink"/>
            <w:rFonts w:ascii="Times New Roman" w:hAnsi="Times New Roman"/>
            <w:b w:val="false"/>
            <w:i w:val="false"/>
            <w:color w:val="000000"/>
            <w:sz w:val="22"/>
          </w:rPr>
          <w:t>24.5(1)</w:t>
        </w:r>
      </w:hyperlink>
      <w:r>
        <w:rPr>
          <w:rFonts w:ascii="Times New Roman" w:hAnsi="Times New Roman"/>
          <w:b w:val="false"/>
          <w:i w:val="false"/>
          <w:color w:val="000000"/>
          <w:sz w:val="22"/>
        </w:rPr>
        <w:t>. Failure to do so may result in the recipient’s responsibility to repay rent subsidy funds dating back to the recipient’s failure to report the change and termination of the rent subsidy.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16.55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9/9/05, Notice 8/3/05—published 9/28/05, effective 11/2/05]</w:t>
      </w:r>
    </w:p>
    <w:p>
      <w:pPr>
        <w:spacing w:before="0" w:after="0"/>
        <w:ind w:left="120"/>
        <w:jc w:val="center"/>
      </w:pPr>
      <w:r>
        <w:rPr>
          <w:rFonts w:ascii="Times New Roman" w:hAnsi="Times New Roman"/>
          <w:b w:val="false"/>
          <w:i w:val="false"/>
          <w:color w:val="000000"/>
          <w:sz w:val="21"/>
        </w:rPr>
        <w:t>[Filed ARC 3423C</w:t>
      </w:r>
      <w:r>
        <w:rPr>
          <w:rFonts w:ascii="Times New Roman" w:hAnsi="Times New Roman"/>
          <w:b w:val="false"/>
          <w:i w:val="false"/>
          <w:color w:val="000000"/>
          <w:sz w:val="21"/>
        </w:rPr>
        <w:t xml:space="preserve"> (Notice ARC 3272C,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4038C</w:t>
      </w:r>
      <w:r>
        <w:rPr>
          <w:rFonts w:ascii="Times New Roman" w:hAnsi="Times New Roman"/>
          <w:b w:val="false"/>
          <w:i w:val="false"/>
          <w:color w:val="000000"/>
          <w:sz w:val="21"/>
        </w:rPr>
        <w:t xml:space="preserve"> (Notice ARC 3916C,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8903C</w:t>
      </w:r>
      <w:r>
        <w:rPr>
          <w:rFonts w:ascii="Times New Roman" w:hAnsi="Times New Roman"/>
          <w:b w:val="false"/>
          <w:i w:val="false"/>
          <w:color w:val="000000"/>
          <w:sz w:val="21"/>
        </w:rPr>
        <w:t xml:space="preserve"> (Notice ARC 8231C, IAB 10/2/24)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ac/chapter/441.83.pdf" Type="http://schemas.openxmlformats.org/officeDocument/2006/relationships/hyperlink" Id="rId6"/>
    <Relationship TargetMode="External" Target="https://www.legis.iowa.gov/docs/ico/chapter/562A.pdf" Type="http://schemas.openxmlformats.org/officeDocument/2006/relationships/hyperlink" Id="rId7"/>
    <Relationship TargetMode="External" Target="https://www.legis.iowa.gov/docs/ico/chapter/16.55.pdf" Type="http://schemas.openxmlformats.org/officeDocument/2006/relationships/hyperlink" Id="rId8"/>
    <Relationship TargetMode="External" Target="https://www.legis.iowa.gov/docs/iac/rule/265.24.4.pdf" Type="http://schemas.openxmlformats.org/officeDocument/2006/relationships/hyperlink" Id="rId9"/>
    <Relationship TargetMode="External" Target="https://www.legis.iowa.gov/docs/iac/rule/265.24.2.pdf" Type="http://schemas.openxmlformats.org/officeDocument/2006/relationships/hyperlink" Id="rId10"/>
    <Relationship TargetMode="External" Target="https://www.legis.iowa.gov/docs/iac/rule/265.24.2.pdf" Type="http://schemas.openxmlformats.org/officeDocument/2006/relationships/hyperlink" Id="rId11"/>
    <Relationship TargetMode="External" Target="https://www.legis.iowa.gov/docs/iac/rule/265.24.5.pdf" Type="http://schemas.openxmlformats.org/officeDocument/2006/relationships/hyperlink" Id="rId12"/>
    <Relationship TargetMode="External" Target="https://www.legis.iowa.gov/docs/iac/rule/265.24.5.pdf" Type="http://schemas.openxmlformats.org/officeDocument/2006/relationships/hyperlink" Id="rId13"/>
    <Relationship TargetMode="External" Target="https://www.legis.iowa.gov/docs/ico/chapter/16.5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